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1" w:type="dxa"/>
        <w:tblInd w:w="-312" w:type="dxa"/>
        <w:tblLayout w:type="fixed"/>
        <w:tblLook w:val="0000" w:firstRow="0" w:lastRow="0" w:firstColumn="0" w:lastColumn="0" w:noHBand="0" w:noVBand="0"/>
      </w:tblPr>
      <w:tblGrid>
        <w:gridCol w:w="4565"/>
        <w:gridCol w:w="5386"/>
      </w:tblGrid>
      <w:tr>
        <w:trPr>
          <w:trHeight w:val="511"/>
        </w:trPr>
        <w:tc>
          <w:tcPr>
            <w:tcW w:w="4565" w:type="dxa"/>
          </w:tcPr>
          <w:p>
            <w:pPr>
              <w:spacing w:after="0" w:line="240" w:lineRule="auto"/>
              <w:ind w:left="-108" w:right="-108"/>
              <w:jc w:val="center"/>
              <w:rPr>
                <w:rFonts w:eastAsia="Calibri" w:cs="Times New Roman"/>
                <w:sz w:val="26"/>
                <w:szCs w:val="26"/>
              </w:rPr>
            </w:pPr>
            <w:r>
              <w:rPr>
                <w:rFonts w:eastAsia="Calibri" w:cs="Times New Roman"/>
                <w:sz w:val="26"/>
                <w:szCs w:val="26"/>
              </w:rPr>
              <w:t>UBND TỈNH HÀ TĨNH</w:t>
            </w:r>
          </w:p>
          <w:p>
            <w:pPr>
              <w:spacing w:after="0" w:line="240" w:lineRule="auto"/>
              <w:ind w:left="-108" w:right="-108"/>
              <w:jc w:val="center"/>
              <w:rPr>
                <w:rFonts w:eastAsia="Calibri" w:cs="Times New Roman"/>
                <w:b/>
                <w:spacing w:val="-6"/>
                <w:sz w:val="26"/>
                <w:szCs w:val="26"/>
              </w:rPr>
            </w:pPr>
            <w:r>
              <w:rPr>
                <w:rFonts w:eastAsia="Calibri" w:cs="Times New Roman"/>
                <w:b/>
                <w:sz w:val="26"/>
                <w:szCs w:val="26"/>
              </w:rPr>
              <w:t xml:space="preserve"> </w:t>
            </w:r>
            <w:r>
              <w:rPr>
                <w:rFonts w:eastAsia="Calibri" w:cs="Times New Roman"/>
                <w:b/>
                <w:spacing w:val="-6"/>
                <w:sz w:val="26"/>
                <w:szCs w:val="26"/>
              </w:rPr>
              <w:t>SỞ NÔNG NGHIỆP VÀ MÔI TRƯỜNG</w:t>
            </w:r>
          </w:p>
        </w:tc>
        <w:tc>
          <w:tcPr>
            <w:tcW w:w="5386" w:type="dxa"/>
          </w:tcPr>
          <w:p>
            <w:pPr>
              <w:spacing w:after="0" w:line="240" w:lineRule="auto"/>
              <w:ind w:left="-108" w:right="-133"/>
              <w:jc w:val="center"/>
              <w:rPr>
                <w:rFonts w:eastAsia="Calibri" w:cs="Times New Roman"/>
                <w:b/>
                <w:spacing w:val="-6"/>
                <w:sz w:val="26"/>
                <w:szCs w:val="26"/>
              </w:rPr>
            </w:pPr>
            <w:r>
              <w:rPr>
                <w:rFonts w:eastAsia="Calibri" w:cs="Times New Roman"/>
                <w:b/>
                <w:spacing w:val="-6"/>
                <w:sz w:val="26"/>
                <w:szCs w:val="26"/>
              </w:rPr>
              <w:t>CỘNG HOÀ XÃ HỘI CHỦ NGHĨA VIỆT NAM</w:t>
            </w:r>
          </w:p>
          <w:p>
            <w:pPr>
              <w:spacing w:after="0" w:line="240" w:lineRule="auto"/>
              <w:jc w:val="center"/>
              <w:rPr>
                <w:rFonts w:eastAsia="Calibri" w:cs="Times New Roman"/>
                <w:b/>
                <w:sz w:val="27"/>
                <w:szCs w:val="27"/>
              </w:rPr>
            </w:pPr>
            <w:r>
              <w:rPr>
                <w:rFonts w:eastAsia="Calibri" w:cs="Times New Roman"/>
                <w:b/>
                <w:sz w:val="27"/>
                <w:szCs w:val="27"/>
              </w:rPr>
              <w:t>Độc lập - Tự do - Hạnh phúc</w:t>
            </w:r>
            <w:r>
              <w:rPr>
                <w:rFonts w:eastAsia="Calibri" w:cs="Times New Roman"/>
                <w:i/>
                <w:sz w:val="27"/>
                <w:szCs w:val="27"/>
              </w:rPr>
              <w:t xml:space="preserve">                </w:t>
            </w:r>
          </w:p>
        </w:tc>
      </w:tr>
      <w:tr>
        <w:trPr>
          <w:trHeight w:val="861"/>
        </w:trPr>
        <w:tc>
          <w:tcPr>
            <w:tcW w:w="4565" w:type="dxa"/>
          </w:tcPr>
          <w:p>
            <w:pPr>
              <w:tabs>
                <w:tab w:val="right" w:leader="dot" w:pos="7920"/>
              </w:tabs>
              <w:spacing w:after="0" w:line="240" w:lineRule="auto"/>
              <w:rPr>
                <w:rFonts w:cs="Times New Roman"/>
                <w:b/>
                <w:szCs w:val="28"/>
              </w:rPr>
            </w:pPr>
            <w:r>
              <w:rPr>
                <w:rFonts w:eastAsia="Calibri" w:cs="Times New Roman"/>
                <w:noProof/>
                <w:sz w:val="26"/>
                <w:szCs w:val="26"/>
              </w:rPr>
              <mc:AlternateContent>
                <mc:Choice Requires="wps">
                  <w:drawing>
                    <wp:anchor distT="0" distB="0" distL="114300" distR="114300" simplePos="0" relativeHeight="251663872" behindDoc="0" locked="0" layoutInCell="1" allowOverlap="1">
                      <wp:simplePos x="0" y="0"/>
                      <wp:positionH relativeFrom="column">
                        <wp:posOffset>836697</wp:posOffset>
                      </wp:positionH>
                      <wp:positionV relativeFrom="paragraph">
                        <wp:posOffset>868</wp:posOffset>
                      </wp:positionV>
                      <wp:extent cx="1171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6032BE"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05pt" to="15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"/>
                  </w:pict>
                </mc:Fallback>
              </mc:AlternateContent>
            </w:r>
            <w:r>
              <w:rPr>
                <w:rFonts w:eastAsia="Calibri" w:cs="Times New Roman"/>
                <w:sz w:val="26"/>
                <w:szCs w:val="26"/>
              </w:rPr>
              <w:t xml:space="preserve"> </w:t>
            </w:r>
            <w:r>
              <w:rPr>
                <w:rFonts w:cs="Times New Roman"/>
                <w:b/>
                <w:szCs w:val="28"/>
              </w:rPr>
              <w:t xml:space="preserve">              </w:t>
            </w:r>
          </w:p>
          <w:p>
            <w:pPr>
              <w:tabs>
                <w:tab w:val="right" w:leader="dot" w:pos="7920"/>
              </w:tabs>
              <w:spacing w:after="0" w:line="240" w:lineRule="auto"/>
              <w:jc w:val="center"/>
              <w:rPr>
                <w:rFonts w:cs="Times New Roman"/>
                <w:b/>
                <w:sz w:val="26"/>
                <w:szCs w:val="28"/>
                <w:lang w:val="vi-VN"/>
              </w:rPr>
            </w:pPr>
            <w:r>
              <w:rPr>
                <w:rFonts w:cs="Times New Roman"/>
                <w:b/>
                <w:szCs w:val="28"/>
                <w:lang w:val="vi-VN"/>
              </w:rPr>
              <w:t>(</w:t>
            </w:r>
            <w:r>
              <w:rPr>
                <w:rFonts w:cs="Times New Roman"/>
                <w:b/>
                <w:szCs w:val="28"/>
              </w:rPr>
              <w:t>DỰ THẢO</w:t>
            </w:r>
            <w:r>
              <w:rPr>
                <w:rFonts w:cs="Times New Roman"/>
                <w:b/>
                <w:szCs w:val="28"/>
                <w:lang w:val="vi-VN"/>
              </w:rPr>
              <w:t>)</w:t>
            </w:r>
          </w:p>
        </w:tc>
        <w:tc>
          <w:tcPr>
            <w:tcW w:w="5386" w:type="dxa"/>
          </w:tcPr>
          <w:p>
            <w:pPr>
              <w:spacing w:before="120" w:after="0"/>
              <w:jc w:val="center"/>
              <w:rPr>
                <w:rFonts w:eastAsia="Calibri" w:cs="Times New Roman"/>
                <w:i/>
                <w:szCs w:val="28"/>
              </w:rPr>
            </w:pPr>
            <w:r>
              <w:rPr>
                <w:rFonts w:eastAsia="Calibri" w:cs="Times New Roman"/>
                <w:noProof/>
                <w:sz w:val="27"/>
                <w:szCs w:val="27"/>
              </w:rPr>
              <mc:AlternateContent>
                <mc:Choice Requires="wps">
                  <w:drawing>
                    <wp:anchor distT="0" distB="0" distL="114300" distR="114300" simplePos="0" relativeHeight="251662848" behindDoc="0" locked="0" layoutInCell="1" allowOverlap="1">
                      <wp:simplePos x="0" y="0"/>
                      <wp:positionH relativeFrom="column">
                        <wp:posOffset>616585</wp:posOffset>
                      </wp:positionH>
                      <wp:positionV relativeFrom="paragraph">
                        <wp:posOffset>31750</wp:posOffset>
                      </wp:positionV>
                      <wp:extent cx="20383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F12E6C"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2.5pt" to="209.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NVHQIAADY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"/>
                  </w:pict>
                </mc:Fallback>
              </mc:AlternateContent>
            </w:r>
            <w:r>
              <w:rPr>
                <w:rFonts w:eastAsia="Calibri" w:cs="Times New Roman"/>
                <w:i/>
                <w:sz w:val="27"/>
                <w:szCs w:val="27"/>
              </w:rPr>
              <w:t xml:space="preserve">          </w:t>
            </w:r>
            <w:r>
              <w:rPr>
                <w:rFonts w:eastAsia="Calibri" w:cs="Times New Roman"/>
                <w:i/>
                <w:szCs w:val="28"/>
              </w:rPr>
              <w:t xml:space="preserve">Hà Tĩnh, ngày       tháng </w:t>
            </w:r>
            <w:r>
              <w:rPr>
                <w:rFonts w:eastAsia="Calibri" w:cs="Times New Roman"/>
                <w:i/>
                <w:szCs w:val="28"/>
                <w:lang w:val="vi-VN"/>
              </w:rPr>
              <w:t xml:space="preserve">   </w:t>
            </w:r>
            <w:r>
              <w:rPr>
                <w:rFonts w:eastAsia="Calibri" w:cs="Times New Roman"/>
                <w:i/>
                <w:szCs w:val="28"/>
              </w:rPr>
              <w:t xml:space="preserve"> năm 2026</w:t>
            </w:r>
          </w:p>
        </w:tc>
      </w:tr>
    </w:tbl>
    <w:p>
      <w:pPr>
        <w:tabs>
          <w:tab w:val="right" w:leader="dot" w:pos="7920"/>
        </w:tabs>
        <w:spacing w:after="0" w:line="240" w:lineRule="auto"/>
        <w:rPr>
          <w:rFonts w:cs="Times New Roman"/>
          <w:b/>
          <w:szCs w:val="28"/>
        </w:rPr>
      </w:pPr>
    </w:p>
    <w:p>
      <w:pPr>
        <w:tabs>
          <w:tab w:val="right" w:leader="dot" w:pos="7920"/>
        </w:tabs>
        <w:spacing w:after="0" w:line="240" w:lineRule="auto"/>
        <w:jc w:val="center"/>
        <w:rPr>
          <w:rFonts w:cs="Times New Roman"/>
          <w:b/>
          <w:szCs w:val="28"/>
        </w:rPr>
      </w:pPr>
      <w:r>
        <w:rPr>
          <w:rFonts w:cs="Times New Roman"/>
          <w:b/>
          <w:szCs w:val="28"/>
        </w:rPr>
        <w:t>TỜ TRÌNH</w:t>
      </w:r>
    </w:p>
    <w:p>
      <w:pPr>
        <w:spacing w:after="0" w:line="240" w:lineRule="auto"/>
        <w:jc w:val="center"/>
        <w:rPr>
          <w:b/>
        </w:rPr>
      </w:pPr>
      <w:r>
        <w:rPr>
          <w:b/>
        </w:rPr>
        <w:t xml:space="preserve">Quyết định quy định phân cấp, ủy quyền một số nhiệm vụ </w:t>
      </w:r>
    </w:p>
    <w:p>
      <w:pPr>
        <w:spacing w:after="0" w:line="240" w:lineRule="auto"/>
        <w:jc w:val="center"/>
        <w:rPr>
          <w:b/>
          <w:szCs w:val="28"/>
        </w:rPr>
      </w:pPr>
      <w:r>
        <w:rPr>
          <w:b/>
        </w:rPr>
        <w:t>trong lĩnh vực đất đai trên địa bàn tỉnh Hà Tĩnh</w:t>
      </w:r>
    </w:p>
    <w:p>
      <w:pPr>
        <w:pStyle w:val="Default"/>
        <w:jc w:val="center"/>
        <w:rPr>
          <w:color w:val="auto"/>
          <w:lang w:val="vi-VN"/>
        </w:rPr>
      </w:pPr>
      <w:r>
        <w:rPr>
          <w:noProof/>
          <w:color w:val="auto"/>
        </w:rPr>
        <mc:AlternateContent>
          <mc:Choice Requires="wps">
            <w:drawing>
              <wp:anchor distT="0" distB="0" distL="114300" distR="114300" simplePos="0" relativeHeight="251664896" behindDoc="0" locked="0" layoutInCell="1" allowOverlap="1">
                <wp:simplePos x="0" y="0"/>
                <wp:positionH relativeFrom="column">
                  <wp:posOffset>2197903</wp:posOffset>
                </wp:positionH>
                <wp:positionV relativeFrom="paragraph">
                  <wp:posOffset>9489</wp:posOffset>
                </wp:positionV>
                <wp:extent cx="1354347"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3543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B65F8E7" id="Straight Connector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05pt,.75pt" to="27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" strokecolor="black [3040]"/>
            </w:pict>
          </mc:Fallback>
        </mc:AlternateContent>
      </w:r>
    </w:p>
    <w:p>
      <w:pPr>
        <w:pStyle w:val="Default"/>
        <w:jc w:val="center"/>
        <w:rPr>
          <w:color w:val="auto"/>
          <w:sz w:val="18"/>
          <w:szCs w:val="28"/>
          <w:lang w:val="vi-VN"/>
        </w:rPr>
      </w:pPr>
    </w:p>
    <w:p>
      <w:pPr>
        <w:pStyle w:val="Default"/>
        <w:jc w:val="center"/>
        <w:rPr>
          <w:color w:val="auto"/>
          <w:sz w:val="28"/>
          <w:szCs w:val="28"/>
          <w:lang w:val="vi-VN"/>
        </w:rPr>
      </w:pPr>
      <w:r>
        <w:rPr>
          <w:color w:val="auto"/>
          <w:sz w:val="28"/>
          <w:szCs w:val="28"/>
          <w:lang w:val="vi-VN"/>
        </w:rPr>
        <w:t>Kính gửi:  Ủy ban nhân dân tỉnh</w:t>
      </w:r>
    </w:p>
    <w:p>
      <w:pPr>
        <w:pStyle w:val="Default"/>
        <w:rPr>
          <w:color w:val="auto"/>
          <w:lang w:val="vi-VN"/>
        </w:rPr>
      </w:pPr>
    </w:p>
    <w:p>
      <w:pPr>
        <w:spacing w:after="0" w:line="240" w:lineRule="auto"/>
        <w:ind w:firstLine="720"/>
        <w:jc w:val="both"/>
        <w:rPr>
          <w:rFonts w:cs="Times New Roman"/>
          <w:szCs w:val="28"/>
          <w:lang w:val="vi-VN"/>
        </w:rPr>
      </w:pPr>
      <w:r>
        <w:rPr>
          <w:lang w:val="vi-VN"/>
        </w:rPr>
        <w:t xml:space="preserve">Căn cứ Luật Ban hành văn bản quy phạm pháp luật ngày 19/02/2025; Luật sửa đổi, bổ sung một số Điều của Luật Ban hành văn bản quy phạm pháp luật </w:t>
      </w:r>
      <w:r>
        <w:rPr>
          <w:szCs w:val="28"/>
          <w:lang w:val="vi-VN"/>
        </w:rPr>
        <w:t>ngày 25/6/2025;</w:t>
      </w:r>
      <w:r>
        <w:rPr>
          <w:lang w:val="vi-VN"/>
        </w:rPr>
        <w:t xml:space="preserve">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ngày 01/7/2025 của Chính phủ), </w:t>
      </w:r>
      <w:r>
        <w:rPr>
          <w:rFonts w:cs="Times New Roman"/>
          <w:spacing w:val="-4"/>
          <w:szCs w:val="28"/>
          <w:lang w:val="vi-VN"/>
        </w:rPr>
        <w:t xml:space="preserve">Nghị định số 79/2025/NĐ-CP ngày 01/4/2025 của Chính phủ </w:t>
      </w:r>
      <w:bookmarkStart w:id="0" w:name="loai_1_name"/>
      <w:r>
        <w:rPr>
          <w:rFonts w:cs="Times New Roman"/>
          <w:szCs w:val="28"/>
          <w:shd w:val="clear" w:color="auto" w:fill="FFFFFF"/>
          <w:lang w:val="vi-VN"/>
        </w:rPr>
        <w:t>về kiểm tra, rà soát, hệ thống hoá và xử lý văn bản quy phạm pháp luật</w:t>
      </w:r>
      <w:bookmarkEnd w:id="0"/>
      <w:r>
        <w:rPr>
          <w:lang w:val="vi-VN"/>
        </w:rPr>
        <w:t xml:space="preserve">, Sở Nông nghiệp và Môi trường kính trình </w:t>
      </w:r>
      <w:r>
        <w:rPr>
          <w:szCs w:val="28"/>
          <w:lang w:val="vi-VN"/>
        </w:rPr>
        <w:t xml:space="preserve">Ủy ban nhân dân tỉnh Dự thảo Quyết định </w:t>
      </w:r>
      <w:r>
        <w:rPr>
          <w:lang w:val="vi-VN"/>
        </w:rPr>
        <w:t xml:space="preserve">Quy định </w:t>
      </w:r>
      <w:r>
        <w:t>phân cấp ủy quyền một số nhiệm vụ trong lĩnh vực đất đai trên địa bàn tỉnh Hà Tĩnh</w:t>
      </w:r>
      <w:r>
        <w:rPr>
          <w:lang w:val="vi-VN"/>
        </w:rPr>
        <w:t xml:space="preserve"> với các nội dung như sau: </w:t>
      </w:r>
    </w:p>
    <w:p>
      <w:pPr>
        <w:widowControl w:val="0"/>
        <w:spacing w:after="0" w:line="240" w:lineRule="auto"/>
        <w:ind w:firstLine="720"/>
        <w:jc w:val="both"/>
        <w:rPr>
          <w:b/>
          <w:lang w:val="vi-VN"/>
        </w:rPr>
      </w:pPr>
      <w:r>
        <w:rPr>
          <w:b/>
          <w:lang w:val="vi-VN"/>
        </w:rPr>
        <w:t>I. SỰ CẦN THIẾT BAN HÀNH VĂN BẢN</w:t>
      </w:r>
    </w:p>
    <w:p>
      <w:pPr>
        <w:widowControl w:val="0"/>
        <w:spacing w:after="0" w:line="240" w:lineRule="auto"/>
        <w:ind w:firstLine="720"/>
        <w:jc w:val="both"/>
        <w:rPr>
          <w:lang w:val="vi-VN"/>
        </w:rPr>
      </w:pPr>
      <w:r>
        <w:rPr>
          <w:b/>
          <w:lang w:val="vi-VN"/>
        </w:rPr>
        <w:t>1. Căn cứ chính trị, pháp lý</w:t>
      </w:r>
    </w:p>
    <w:p>
      <w:pPr>
        <w:widowControl w:val="0"/>
        <w:spacing w:after="0" w:line="240" w:lineRule="auto"/>
        <w:ind w:firstLine="720"/>
        <w:jc w:val="both"/>
        <w:rPr>
          <w:szCs w:val="28"/>
          <w:lang w:val="pt-BR"/>
        </w:rPr>
      </w:pPr>
      <w:r>
        <w:rPr>
          <w:szCs w:val="28"/>
          <w:lang w:val="vi-VN"/>
        </w:rPr>
        <w:t>Ngày 31/01/2026, Chính phủ ban hành Nghị định số 49/2026/NĐ-CP ngày 31/01/2026 Quy định chi tiết và hướng dẫn một số điều của Nghị quyết số 254/2025/QH15 của Quốc hội</w:t>
      </w:r>
      <w:r>
        <w:rPr>
          <w:szCs w:val="28"/>
          <w:lang w:val="pt-BR"/>
        </w:rPr>
        <w:t xml:space="preserve"> quy định một số cơ chế, chính sách tháo gỡ khó khăn, vướng mắc trong tổ chức thi hành Luật Đất đai (gọi tắt là Nghị định số 49/2026/NĐ-CP), trong đó quy định:</w:t>
      </w:r>
    </w:p>
    <w:p>
      <w:pPr>
        <w:widowControl w:val="0"/>
        <w:spacing w:after="0" w:line="240" w:lineRule="auto"/>
        <w:ind w:firstLine="720"/>
        <w:jc w:val="both"/>
        <w:rPr>
          <w:szCs w:val="28"/>
          <w:lang w:val="vi-VN"/>
        </w:rPr>
      </w:pPr>
      <w:r>
        <w:rPr>
          <w:szCs w:val="28"/>
        </w:rPr>
        <w:t>-</w:t>
      </w:r>
      <w:r>
        <w:rPr>
          <w:szCs w:val="28"/>
          <w:lang w:val="vi-VN"/>
        </w:rPr>
        <w:t xml:space="preserve"> Tại khoản 1 Điều 14 Nghị định số 49/2026/NĐ-CP quy định:</w:t>
      </w:r>
    </w:p>
    <w:p>
      <w:pPr>
        <w:widowControl w:val="0"/>
        <w:spacing w:after="0" w:line="240" w:lineRule="auto"/>
        <w:ind w:firstLine="720"/>
        <w:jc w:val="both"/>
        <w:rPr>
          <w:szCs w:val="28"/>
          <w:lang w:val="vi-VN"/>
        </w:rPr>
      </w:pPr>
      <w:r>
        <w:rPr>
          <w:szCs w:val="28"/>
          <w:lang w:val="vi-VN"/>
        </w:rPr>
        <w:t xml:space="preserve"> “</w:t>
      </w:r>
      <w:r>
        <w:rPr>
          <w:b/>
          <w:i/>
          <w:szCs w:val="28"/>
          <w:lang w:val="vi-VN"/>
        </w:rPr>
        <w:t>Điều 14. Phân cấp thẩm quyền cho Ủy ban nhân dân cấp tỉnh thực hiện trong lĩnh vực đất đai</w:t>
      </w:r>
    </w:p>
    <w:p>
      <w:pPr>
        <w:widowControl w:val="0"/>
        <w:spacing w:after="0" w:line="240" w:lineRule="auto"/>
        <w:ind w:firstLine="720"/>
        <w:jc w:val="both"/>
        <w:rPr>
          <w:i/>
          <w:szCs w:val="28"/>
          <w:lang w:val="vi-VN"/>
        </w:rPr>
      </w:pPr>
      <w:r>
        <w:rPr>
          <w:i/>
          <w:szCs w:val="28"/>
          <w:lang w:val="vi-VN"/>
        </w:rPr>
        <w:t>1. Ủy ban nhân dân cấp tỉnh có thẩm quyền quyết định về thu hồi đất, bồi thường, hỗ trợ, tái định cư, giao đất, cho thuê đất, cho phép chuyển mục đích sử dụng đất, điều chỉnh thời hạn sử dụng đất, gia hạn sử dụng đất, chuyển hình thức sử dụng đất, công nhận quyền sử dụng đất, chấp thuận về việc thỏa thuận nhận quyền sử dụng đất để thực hiện dự án, chấp thuận, phê duyệt phương án sử dụng đất.</w:t>
      </w:r>
    </w:p>
    <w:p>
      <w:pPr>
        <w:widowControl w:val="0"/>
        <w:spacing w:after="0" w:line="240" w:lineRule="auto"/>
        <w:ind w:firstLine="720"/>
        <w:jc w:val="both"/>
        <w:rPr>
          <w:szCs w:val="28"/>
          <w:lang w:val="vi-VN"/>
        </w:rPr>
      </w:pPr>
      <w:r>
        <w:rPr>
          <w:i/>
          <w:szCs w:val="28"/>
          <w:lang w:val="vi-VN"/>
        </w:rPr>
        <w:t xml:space="preserve">Căn cứ Luật Tổ chức chính quyền địa phương, Nghị quyết số 190/2025/QH15 của Quốc hội về xử lý một số vấn đề liên quan đến sắp xếp tổ chức bộ máy nhà nước và tình hình thực tế của địa phương, </w:t>
      </w:r>
      <w:r>
        <w:rPr>
          <w:b/>
          <w:i/>
          <w:szCs w:val="28"/>
          <w:lang w:val="vi-VN"/>
        </w:rPr>
        <w:t>Ủy ban nhân dân cấp tỉnh quyết định việc phân cấp, ủy quyền</w:t>
      </w:r>
      <w:r>
        <w:rPr>
          <w:i/>
          <w:szCs w:val="28"/>
          <w:lang w:val="vi-VN"/>
        </w:rPr>
        <w:t xml:space="preserve"> cho cơ quan, người có thẩm quyền thực hiện đối với các nhiệm vụ quy định tại khoản này cho phù hợp.</w:t>
      </w:r>
      <w:r>
        <w:rPr>
          <w:szCs w:val="28"/>
          <w:lang w:val="vi-VN"/>
        </w:rPr>
        <w:t>”</w:t>
      </w:r>
    </w:p>
    <w:p>
      <w:pPr>
        <w:widowControl w:val="0"/>
        <w:tabs>
          <w:tab w:val="left" w:pos="0"/>
        </w:tabs>
        <w:spacing w:after="0" w:line="240" w:lineRule="auto"/>
        <w:ind w:firstLine="720"/>
        <w:jc w:val="both"/>
        <w:rPr>
          <w:szCs w:val="28"/>
          <w:lang w:val="vi-VN"/>
        </w:rPr>
      </w:pPr>
      <w:bookmarkStart w:id="1" w:name="dieu_5"/>
      <w:r>
        <w:rPr>
          <w:szCs w:val="28"/>
        </w:rPr>
        <w:t>-</w:t>
      </w:r>
      <w:r>
        <w:rPr>
          <w:szCs w:val="28"/>
          <w:lang w:val="vi-VN"/>
        </w:rPr>
        <w:t xml:space="preserve"> Tại khoản 1 Điều 15 Nghị định số 49/2026/NĐ-CP quy định:</w:t>
      </w:r>
    </w:p>
    <w:p>
      <w:pPr>
        <w:widowControl w:val="0"/>
        <w:tabs>
          <w:tab w:val="left" w:pos="0"/>
        </w:tabs>
        <w:spacing w:after="0" w:line="240" w:lineRule="auto"/>
        <w:ind w:firstLine="720"/>
        <w:jc w:val="both"/>
        <w:rPr>
          <w:i/>
          <w:szCs w:val="28"/>
          <w:lang w:val="vi-VN"/>
        </w:rPr>
      </w:pPr>
      <w:r>
        <w:rPr>
          <w:i/>
          <w:szCs w:val="28"/>
          <w:lang w:val="vi-VN"/>
        </w:rPr>
        <w:t>“Điều 15. Quy định trình tự, thủ tục hành chính về đất đai</w:t>
      </w:r>
    </w:p>
    <w:p>
      <w:pPr>
        <w:widowControl w:val="0"/>
        <w:tabs>
          <w:tab w:val="left" w:pos="0"/>
        </w:tabs>
        <w:spacing w:after="0" w:line="240" w:lineRule="auto"/>
        <w:ind w:firstLine="720"/>
        <w:jc w:val="both"/>
        <w:rPr>
          <w:i/>
          <w:szCs w:val="28"/>
          <w:lang w:val="vi-VN"/>
        </w:rPr>
      </w:pPr>
      <w:r>
        <w:rPr>
          <w:i/>
          <w:szCs w:val="28"/>
          <w:lang w:val="vi-VN"/>
        </w:rPr>
        <w:lastRenderedPageBreak/>
        <w:t xml:space="preserve">1. Ủy ban nhân dân cấp tỉnh </w:t>
      </w:r>
      <w:r>
        <w:rPr>
          <w:b/>
          <w:i/>
          <w:szCs w:val="28"/>
          <w:lang w:val="vi-VN"/>
        </w:rPr>
        <w:t>quy định trình tự, thủ tục hành chính về đất đai để thực hiện các trường hợp quy định tại Điều 14 của Nghị định</w:t>
      </w:r>
      <w:r>
        <w:rPr>
          <w:i/>
          <w:szCs w:val="28"/>
          <w:lang w:val="vi-VN"/>
        </w:rPr>
        <w:t xml:space="preserve"> này chậm nhất đến ngày 01 tháng 7 năm 2026, bảo đảm cắt giảm, đơn giản hóa thủ tục hành chính theo quy định; trong đó quy định rõ trách nhiệm của cơ quan, người có thẩm quyền trong các bước thực hiện trình tự, thủ tục, thời gian tối đa thực hiện trình tự, thủ tục, thành phần hồ sơ phải nộp, trong đó có giấy tờ chứng minh đối tượng được miễn, giảm nghĩa vụ tài chính (nếu có), các mẫu thực hiện thủ tục phải quy định các thông tin để xác định nghĩa vụ tài chính về đất đai. Trong thời gian chưa ban hành quy định về trình tự, thủ tục hành chính về đất đai quy định tại khoản này thì Ủy ban nhân dân cấp tỉnh quyết định việc áp dụng trình tự, thủ tục hành chính về đất đai theo quy định của pháp luật trước ngày Nghị định này có hiệu lực thi hành hoặc quyết định trình tự, thủ tục hành chính về đất đai đối với từng trường hợp cụ thể.”</w:t>
      </w:r>
    </w:p>
    <w:p>
      <w:pPr>
        <w:widowControl w:val="0"/>
        <w:tabs>
          <w:tab w:val="left" w:pos="0"/>
        </w:tabs>
        <w:spacing w:after="0" w:line="240" w:lineRule="auto"/>
        <w:ind w:firstLine="720"/>
        <w:jc w:val="both"/>
        <w:rPr>
          <w:b/>
          <w:szCs w:val="28"/>
          <w:lang w:val="vi-VN"/>
        </w:rPr>
      </w:pPr>
      <w:r>
        <w:rPr>
          <w:b/>
          <w:szCs w:val="28"/>
          <w:lang w:val="vi-VN"/>
        </w:rPr>
        <w:t>2. Cơ sở thực tiễn</w:t>
      </w:r>
      <w:bookmarkEnd w:id="1"/>
    </w:p>
    <w:p>
      <w:pPr>
        <w:autoSpaceDE w:val="0"/>
        <w:autoSpaceDN w:val="0"/>
        <w:adjustRightInd w:val="0"/>
        <w:spacing w:after="0" w:line="240" w:lineRule="auto"/>
        <w:ind w:firstLine="720"/>
        <w:jc w:val="both"/>
        <w:rPr>
          <w:szCs w:val="28"/>
        </w:rPr>
      </w:pPr>
      <w:r>
        <w:rPr>
          <w:szCs w:val="28"/>
          <w:lang w:val="vi-VN"/>
        </w:rPr>
        <w:t xml:space="preserve">Nghị định số 49/2026/NĐ-CP ngày 31/01/2026 của Chính phủ đã bãi bỏ các nội dung quy định về phân cấp, phân quyền trong lĩnh vực đất đai tại Nghị định số 151/2025/NĐ-CP và giao cho Ủy ban nhân dân cấp tỉnh quyết định việc phân cấp, ủy quyền; đồng thời giao Ủy ban nhân dân cấp tỉnh quy định trình tự, thủ tục hành chính về đất đai đối với một số nội dung cụ thể. </w:t>
      </w:r>
      <w:r>
        <w:rPr>
          <w:szCs w:val="28"/>
        </w:rPr>
        <w:t xml:space="preserve">Trong thực tiễn hiện nay, để đẩy nhanh tiến độ thực hiện các dự án, rút ngắn thời gian giải quyết hồ sơ, tạo tính chủ động, nâng cao trách nhiệm cho chính quyền địa phương trong việc thực hiện chức năng quản lý nhà nước về lĩnh vực đất đai thì việc ban hành quy định về phân cấp ủy quyền và trình tự thủ tục hành chính trong </w:t>
      </w:r>
      <w:r>
        <w:rPr>
          <w:rFonts w:eastAsia="Symbol"/>
          <w:spacing w:val="4"/>
          <w:szCs w:val="28"/>
          <w:lang w:val="it-IT"/>
        </w:rPr>
        <w:t xml:space="preserve">giao đất, </w:t>
      </w:r>
      <w:r>
        <w:rPr>
          <w:spacing w:val="4"/>
          <w:szCs w:val="28"/>
          <w:lang w:eastAsia="x-none"/>
        </w:rPr>
        <w:t xml:space="preserve">cho thuê đất, cho phép chuyển mục đích sử dụng đất, điều chỉnh thời hạn sử dụng đất, gia hạn sử dụng đất, chuyển </w:t>
      </w:r>
      <w:r>
        <w:rPr>
          <w:szCs w:val="28"/>
          <w:lang w:eastAsia="x-none"/>
        </w:rPr>
        <w:t>hình thức sử dụng đất, công nhận quyền sử dụng đất, chấp thuận, phê duyệt phương án sử dụng đất…. là cần thiết.</w:t>
      </w:r>
    </w:p>
    <w:p>
      <w:pPr>
        <w:autoSpaceDE w:val="0"/>
        <w:autoSpaceDN w:val="0"/>
        <w:adjustRightInd w:val="0"/>
        <w:spacing w:after="0" w:line="240" w:lineRule="auto"/>
        <w:ind w:firstLine="720"/>
        <w:jc w:val="both"/>
        <w:rPr>
          <w:szCs w:val="28"/>
          <w:lang w:val="vi-VN"/>
        </w:rPr>
      </w:pPr>
      <w:r>
        <w:rPr>
          <w:szCs w:val="28"/>
          <w:lang w:eastAsia="x-none"/>
        </w:rPr>
        <w:t>Mặt khác, từ khi vận hành chính quyền địa phương 02 cấp UBND cấp xã đã được phân cấp và đã thực hiện tốt công tác quản lý nhà nước về lĩnh vực đất đai. Trên cơ sở hướng dẫn, tập huấn của Sở Nông nghiệp và Môi trường, UBND các xã, phường đã chủ động thực hiện các nhiệm vụ được phân cấp: giao đất, cho thuê đất, cho phép chuyển mục đích sử dụng đất đối với các dự án, gia hạn tiến độ sử dụng đất của dự án, công nhận quyền sử dụng đất, chấp thuận, phê duyệt phương án sử dụng đất...</w:t>
      </w:r>
    </w:p>
    <w:p>
      <w:pPr>
        <w:autoSpaceDE w:val="0"/>
        <w:autoSpaceDN w:val="0"/>
        <w:adjustRightInd w:val="0"/>
        <w:spacing w:after="0" w:line="240" w:lineRule="auto"/>
        <w:ind w:firstLine="720"/>
        <w:jc w:val="both"/>
        <w:rPr>
          <w:rFonts w:eastAsia="Times New Roman" w:cs="Times New Roman"/>
          <w:b/>
          <w:bCs/>
          <w:szCs w:val="28"/>
          <w:shd w:val="clear" w:color="auto" w:fill="FFFFFF"/>
          <w:lang w:val="pt-BR"/>
        </w:rPr>
      </w:pPr>
      <w:r>
        <w:rPr>
          <w:rFonts w:eastAsia="Times New Roman" w:cs="Times New Roman"/>
          <w:b/>
          <w:bCs/>
          <w:szCs w:val="28"/>
          <w:shd w:val="clear" w:color="auto" w:fill="FFFFFF"/>
          <w:lang w:val="pt-BR"/>
        </w:rPr>
        <w:t>II. MỤC ĐÍCH, QUAN ĐIỂM XÂY DỰNG DỰ THẢO QUYẾT ĐỊNH</w:t>
      </w:r>
    </w:p>
    <w:p>
      <w:pPr>
        <w:autoSpaceDE w:val="0"/>
        <w:autoSpaceDN w:val="0"/>
        <w:adjustRightInd w:val="0"/>
        <w:spacing w:after="0" w:line="240" w:lineRule="auto"/>
        <w:ind w:firstLine="720"/>
        <w:jc w:val="both"/>
        <w:rPr>
          <w:rFonts w:eastAsia="Times New Roman" w:cs="Times New Roman"/>
          <w:b/>
          <w:bCs/>
          <w:szCs w:val="28"/>
          <w:shd w:val="clear" w:color="auto" w:fill="FFFFFF"/>
          <w:lang w:val="pt-BR"/>
        </w:rPr>
      </w:pPr>
      <w:r>
        <w:rPr>
          <w:rFonts w:eastAsia="Times New Roman" w:cs="Times New Roman"/>
          <w:b/>
          <w:bCs/>
          <w:szCs w:val="28"/>
          <w:shd w:val="clear" w:color="auto" w:fill="FFFFFF"/>
          <w:lang w:val="pt-BR"/>
        </w:rPr>
        <w:t xml:space="preserve">1. Mục đích ban hành </w:t>
      </w:r>
    </w:p>
    <w:p>
      <w:pPr>
        <w:spacing w:after="0" w:line="240" w:lineRule="auto"/>
        <w:ind w:firstLine="720"/>
        <w:jc w:val="both"/>
        <w:rPr>
          <w:szCs w:val="28"/>
          <w:lang w:val="pt-BR"/>
        </w:rPr>
      </w:pPr>
      <w:r>
        <w:rPr>
          <w:szCs w:val="28"/>
          <w:lang w:val="pt-BR"/>
        </w:rPr>
        <w:t>- Đảm bảo đúng quy định Luật Đất đai, các văn bản hướng dẫn thi hành Luật Đất đai và pháp luật có liên quan.</w:t>
      </w:r>
    </w:p>
    <w:p>
      <w:pPr>
        <w:spacing w:after="0" w:line="240" w:lineRule="auto"/>
        <w:ind w:firstLine="720"/>
        <w:jc w:val="both"/>
        <w:rPr>
          <w:szCs w:val="28"/>
          <w:lang w:val="pt-BR"/>
        </w:rPr>
      </w:pPr>
      <w:r>
        <w:rPr>
          <w:szCs w:val="28"/>
          <w:lang w:val="pt-BR"/>
        </w:rPr>
        <w:t>- Giải quyết những bất cập, tồn tại trong thực tiễn, tạo điều kiện thuận lợi để Luật Đất đai thực sự đi vào cuộc sống, phục vụ tích cực cho phát triển kinh tế - xã hội.</w:t>
      </w:r>
    </w:p>
    <w:p>
      <w:pPr>
        <w:spacing w:after="0" w:line="240" w:lineRule="auto"/>
        <w:ind w:firstLine="720"/>
        <w:jc w:val="both"/>
        <w:rPr>
          <w:szCs w:val="28"/>
          <w:lang w:val="pt-BR"/>
        </w:rPr>
      </w:pPr>
      <w:r>
        <w:rPr>
          <w:szCs w:val="28"/>
          <w:lang w:val="pt-BR"/>
        </w:rPr>
        <w:t xml:space="preserve">- </w:t>
      </w:r>
      <w:r>
        <w:rPr>
          <w:szCs w:val="28"/>
          <w:lang w:eastAsia="x-none"/>
        </w:rPr>
        <w:t>Tạo tính chủ động, nâng cao trách nhiệm cho chính quyền địa phương trong việc thực hiện chức năng quản lý nhà nước về lĩnh vực đất đai.</w:t>
      </w:r>
    </w:p>
    <w:p>
      <w:pPr>
        <w:autoSpaceDE w:val="0"/>
        <w:autoSpaceDN w:val="0"/>
        <w:adjustRightInd w:val="0"/>
        <w:spacing w:after="0" w:line="240" w:lineRule="auto"/>
        <w:ind w:firstLine="720"/>
        <w:jc w:val="both"/>
        <w:rPr>
          <w:rFonts w:eastAsia="Times New Roman" w:cs="Times New Roman"/>
          <w:b/>
          <w:bCs/>
          <w:szCs w:val="28"/>
          <w:shd w:val="clear" w:color="auto" w:fill="FFFFFF"/>
          <w:lang w:val="pt-BR"/>
        </w:rPr>
      </w:pPr>
      <w:r>
        <w:rPr>
          <w:rFonts w:eastAsia="Times New Roman" w:cs="Times New Roman"/>
          <w:b/>
          <w:bCs/>
          <w:szCs w:val="28"/>
          <w:shd w:val="clear" w:color="auto" w:fill="FFFFFF"/>
          <w:lang w:val="pt-BR"/>
        </w:rPr>
        <w:t xml:space="preserve">2. Quan điểm xây dựng dự thảo Quyết định </w:t>
      </w:r>
    </w:p>
    <w:p>
      <w:pPr>
        <w:autoSpaceDE w:val="0"/>
        <w:autoSpaceDN w:val="0"/>
        <w:adjustRightInd w:val="0"/>
        <w:spacing w:after="0" w:line="240" w:lineRule="auto"/>
        <w:ind w:firstLine="720"/>
        <w:jc w:val="both"/>
        <w:rPr>
          <w:rFonts w:eastAsia="Times New Roman" w:cs="Times New Roman"/>
          <w:szCs w:val="28"/>
          <w:shd w:val="clear" w:color="auto" w:fill="FFFFFF"/>
          <w:lang w:val="pt-BR"/>
        </w:rPr>
      </w:pPr>
      <w:r>
        <w:rPr>
          <w:rFonts w:eastAsia="Times New Roman" w:cs="Times New Roman"/>
          <w:szCs w:val="28"/>
          <w:shd w:val="clear" w:color="auto" w:fill="FFFFFF"/>
          <w:lang w:val="pt-BR"/>
        </w:rPr>
        <w:lastRenderedPageBreak/>
        <w:t>- Việc xây dựng dự thảo đảm bảo tính đồng bộ, thống nhất của hệ thống pháp luật, tính hợp hiến, hợp pháp và tình hình thực tiễn của địa phương.</w:t>
      </w:r>
    </w:p>
    <w:p>
      <w:pPr>
        <w:autoSpaceDE w:val="0"/>
        <w:autoSpaceDN w:val="0"/>
        <w:adjustRightInd w:val="0"/>
        <w:spacing w:after="0" w:line="240" w:lineRule="auto"/>
        <w:ind w:firstLine="720"/>
        <w:jc w:val="both"/>
        <w:rPr>
          <w:rFonts w:eastAsia="Times New Roman" w:cs="Times New Roman"/>
          <w:szCs w:val="28"/>
          <w:shd w:val="clear" w:color="auto" w:fill="FFFFFF"/>
          <w:lang w:val="pt-BR"/>
        </w:rPr>
      </w:pPr>
      <w:r>
        <w:rPr>
          <w:rFonts w:eastAsia="Times New Roman" w:cs="Times New Roman"/>
          <w:szCs w:val="28"/>
          <w:shd w:val="clear" w:color="auto" w:fill="FFFFFF"/>
          <w:lang w:val="pt-BR"/>
        </w:rPr>
        <w:t>- Phải đảm bảo đúng trình tự, thủ tục Luật Ban hành văn bản quy phạm pháp luật và các Nghị định hướng dẫn thi hành.</w:t>
      </w:r>
    </w:p>
    <w:p>
      <w:pPr>
        <w:tabs>
          <w:tab w:val="right" w:leader="dot" w:pos="7920"/>
        </w:tabs>
        <w:spacing w:after="0" w:line="240" w:lineRule="auto"/>
        <w:ind w:firstLine="720"/>
        <w:jc w:val="both"/>
        <w:rPr>
          <w:rFonts w:cs="Times New Roman"/>
          <w:b/>
          <w:szCs w:val="28"/>
          <w:lang w:val="pt-BR"/>
        </w:rPr>
      </w:pPr>
      <w:r>
        <w:rPr>
          <w:rFonts w:cs="Times New Roman"/>
          <w:b/>
          <w:szCs w:val="28"/>
          <w:lang w:val="pt-BR"/>
        </w:rPr>
        <w:t>III. QUÁ TRÌNH XÂY DỰNG DỰ THẢO QUYẾT ĐỊNH</w:t>
      </w:r>
    </w:p>
    <w:p>
      <w:pPr>
        <w:tabs>
          <w:tab w:val="right" w:leader="dot" w:pos="7920"/>
        </w:tabs>
        <w:spacing w:after="0" w:line="240" w:lineRule="auto"/>
        <w:ind w:firstLine="720"/>
        <w:jc w:val="both"/>
        <w:rPr>
          <w:rFonts w:cs="Times New Roman"/>
          <w:szCs w:val="28"/>
          <w:lang w:val="pt-BR"/>
        </w:rPr>
      </w:pPr>
      <w:r>
        <w:rPr>
          <w:rFonts w:cs="Times New Roman"/>
          <w:iCs/>
          <w:szCs w:val="28"/>
          <w:lang w:val="pt-BR"/>
        </w:rPr>
        <w:t>Thực hiện</w:t>
      </w:r>
      <w:r>
        <w:rPr>
          <w:rFonts w:cs="Times New Roman"/>
          <w:szCs w:val="28"/>
          <w:lang w:val="pt-BR"/>
        </w:rPr>
        <w:t xml:space="preserve"> Luật Ban hành văn bản quy phạm pháp luật ngày 19/02/2025; Luật sửa đổi, bổ sung một số điều của Luật Ban hành văn bản quy phạm pháp luật ngày 25/6/2025 và các Nghị định hướng dẫn thi hành, Văn bản số 1015/UBND-NL</w:t>
      </w:r>
      <w:r>
        <w:rPr>
          <w:rFonts w:cs="Times New Roman"/>
          <w:szCs w:val="28"/>
          <w:vertAlign w:val="subscript"/>
          <w:lang w:val="pt-BR"/>
        </w:rPr>
        <w:t>2</w:t>
      </w:r>
      <w:r>
        <w:rPr>
          <w:rFonts w:cs="Times New Roman"/>
          <w:szCs w:val="28"/>
          <w:lang w:val="pt-BR"/>
        </w:rPr>
        <w:t xml:space="preserve"> ngày 04/02/2026 của UBND tỉnh về chủ trương xây dựng văn bản quy phạm pháp luật; theo đó đồng ý chủ trương xây dựng Quyết định của UBND tỉnh phân cấp, ủy quyền trong lĩnh vực đất đai trên địa bàn tỉnh Hà Tĩnh theo trình tự, thủ tục rút gọn tại Văn bản số 1441/UBND-NL</w:t>
      </w:r>
      <w:r>
        <w:rPr>
          <w:rFonts w:cs="Times New Roman"/>
          <w:szCs w:val="28"/>
          <w:vertAlign w:val="subscript"/>
          <w:lang w:val="pt-BR"/>
        </w:rPr>
        <w:t>2</w:t>
      </w:r>
      <w:r>
        <w:rPr>
          <w:rFonts w:cs="Times New Roman"/>
          <w:szCs w:val="28"/>
          <w:lang w:val="pt-BR"/>
        </w:rPr>
        <w:t xml:space="preserve"> ngày 25/02/2026.</w:t>
      </w:r>
    </w:p>
    <w:p>
      <w:pPr>
        <w:tabs>
          <w:tab w:val="right" w:leader="dot" w:pos="7920"/>
        </w:tabs>
        <w:spacing w:after="0" w:line="240" w:lineRule="auto"/>
        <w:ind w:firstLine="720"/>
        <w:jc w:val="both"/>
        <w:rPr>
          <w:rFonts w:cs="Times New Roman"/>
          <w:szCs w:val="28"/>
          <w:lang w:val="pt-BR"/>
        </w:rPr>
      </w:pPr>
      <w:r>
        <w:rPr>
          <w:rFonts w:cs="Times New Roman"/>
          <w:szCs w:val="28"/>
          <w:lang w:val="pt-BR"/>
        </w:rPr>
        <w:t xml:space="preserve">Sau khi hoàn thiện dự thảo, Sở Nông nghiệp và Môi trường đã có Văn bản      /SNNMT-QLĐĐ ngày    /3/2026 gửi đến các sở, ban, ngành cấp tỉnh, UBND cấp xã để lấy ý kiến. </w:t>
      </w:r>
    </w:p>
    <w:p>
      <w:pPr>
        <w:tabs>
          <w:tab w:val="right" w:leader="dot" w:pos="7920"/>
        </w:tabs>
        <w:spacing w:after="0" w:line="240" w:lineRule="auto"/>
        <w:ind w:firstLine="720"/>
        <w:jc w:val="both"/>
        <w:rPr>
          <w:rFonts w:cs="Times New Roman"/>
          <w:szCs w:val="28"/>
          <w:lang w:val="pt-BR"/>
        </w:rPr>
      </w:pPr>
      <w:r>
        <w:rPr>
          <w:rFonts w:cs="Times New Roman"/>
          <w:szCs w:val="28"/>
          <w:lang w:val="pt-BR"/>
        </w:rPr>
        <w:t>Tiếp thu ý kiến góp ý của các sở, ngành, đơn vị, Sở Nông nghiệp và Môi trường đã chỉnh sửa, bổ sung, hoàn thiện dự thảo, Sở Tư pháp thẩm định (Báo cáo số ……/BC-STP ngày …/…./2026)</w:t>
      </w:r>
      <w:r>
        <w:rPr>
          <w:lang w:val="pt-BR"/>
        </w:rPr>
        <w:t xml:space="preserve">, Sở Nông nghiệp và Môi trường kính trình Ủy ban nhân dân tỉnh </w:t>
      </w:r>
      <w:r>
        <w:rPr>
          <w:rFonts w:cs="Times New Roman"/>
          <w:bCs/>
          <w:szCs w:val="28"/>
          <w:lang w:val="pt-BR"/>
        </w:rPr>
        <w:t>xem xét, quyết định</w:t>
      </w:r>
      <w:r>
        <w:rPr>
          <w:rFonts w:cs="Times New Roman"/>
          <w:szCs w:val="28"/>
          <w:lang w:val="pt-BR"/>
        </w:rPr>
        <w:t xml:space="preserve">. </w:t>
      </w:r>
    </w:p>
    <w:p>
      <w:pPr>
        <w:tabs>
          <w:tab w:val="right" w:leader="dot" w:pos="7920"/>
        </w:tabs>
        <w:spacing w:after="0" w:line="240" w:lineRule="auto"/>
        <w:ind w:firstLine="720"/>
        <w:jc w:val="both"/>
        <w:rPr>
          <w:rFonts w:cs="Times New Roman"/>
          <w:b/>
          <w:szCs w:val="28"/>
          <w:lang w:val="pt-BR"/>
        </w:rPr>
      </w:pPr>
      <w:r>
        <w:rPr>
          <w:rFonts w:cs="Times New Roman"/>
          <w:b/>
          <w:szCs w:val="28"/>
          <w:lang w:val="pt-BR"/>
        </w:rPr>
        <w:t>IV. BỐ CỤC VÀ NỘI DUNG CƠ BẢN CỦA DỰ THẢO</w:t>
      </w:r>
    </w:p>
    <w:p>
      <w:pPr>
        <w:pStyle w:val="Default"/>
        <w:ind w:firstLine="720"/>
        <w:rPr>
          <w:b/>
          <w:bCs/>
          <w:i/>
          <w:color w:val="auto"/>
          <w:sz w:val="28"/>
          <w:szCs w:val="28"/>
          <w:lang w:val="pt-BR"/>
        </w:rPr>
      </w:pPr>
      <w:r>
        <w:rPr>
          <w:b/>
          <w:bCs/>
          <w:i/>
          <w:color w:val="auto"/>
          <w:sz w:val="28"/>
          <w:szCs w:val="28"/>
          <w:lang w:val="pt-BR"/>
        </w:rPr>
        <w:t>1. Phạm vi điều chỉnh, đối tượng áp dụng</w:t>
      </w:r>
    </w:p>
    <w:p>
      <w:pPr>
        <w:widowControl w:val="0"/>
        <w:spacing w:after="0" w:line="240" w:lineRule="auto"/>
        <w:ind w:firstLine="720"/>
        <w:jc w:val="both"/>
        <w:rPr>
          <w:i/>
          <w:lang w:val="pt-BR"/>
        </w:rPr>
      </w:pPr>
      <w:r>
        <w:rPr>
          <w:i/>
          <w:lang w:val="pt-BR"/>
        </w:rPr>
        <w:t xml:space="preserve">a) Phạm vi điều chỉnh: </w:t>
      </w:r>
    </w:p>
    <w:p>
      <w:pPr>
        <w:widowControl w:val="0"/>
        <w:shd w:val="clear" w:color="auto" w:fill="FFFFFF"/>
        <w:spacing w:after="0" w:line="240" w:lineRule="auto"/>
        <w:ind w:firstLine="720"/>
        <w:jc w:val="both"/>
        <w:rPr>
          <w:szCs w:val="28"/>
        </w:rPr>
      </w:pPr>
      <w:r>
        <w:rPr>
          <w:szCs w:val="28"/>
          <w:lang w:val="vi-VN"/>
        </w:rPr>
        <w:t>Quyết định này quy định</w:t>
      </w:r>
      <w:r>
        <w:rPr>
          <w:szCs w:val="28"/>
        </w:rPr>
        <w:t xml:space="preserve"> việc</w:t>
      </w:r>
      <w:r>
        <w:rPr>
          <w:szCs w:val="28"/>
          <w:lang w:val="vi-VN"/>
        </w:rPr>
        <w:t xml:space="preserve"> phân cấp</w:t>
      </w:r>
      <w:r>
        <w:rPr>
          <w:szCs w:val="28"/>
        </w:rPr>
        <w:t>, ủy quyền</w:t>
      </w:r>
      <w:r>
        <w:rPr>
          <w:szCs w:val="28"/>
          <w:lang w:val="vi-VN"/>
        </w:rPr>
        <w:t xml:space="preserve"> cho cơ quan, người có thẩm quyền thực hiện đối với các nhiệm vụ </w:t>
      </w:r>
      <w:r>
        <w:rPr>
          <w:szCs w:val="28"/>
        </w:rPr>
        <w:t xml:space="preserve">được phân cấp, ủy quyền theo </w:t>
      </w:r>
      <w:r>
        <w:rPr>
          <w:szCs w:val="28"/>
          <w:lang w:val="vi-VN"/>
        </w:rPr>
        <w:t>quy định tại</w:t>
      </w:r>
      <w:r>
        <w:rPr>
          <w:szCs w:val="28"/>
        </w:rPr>
        <w:t xml:space="preserve"> khoản 1 Điều 14 và trình tự, thủ tục thực hiện nhiệm vụ, quyền hạn của cơ quan, người có thẩm quyền trong lĩnh vực đất đai theo quy định tại khoản 1 Điều 15 Nghị định số 49/2026/NĐ-CP ngày 31/01/2026 của Chính phủ.</w:t>
      </w:r>
    </w:p>
    <w:p>
      <w:pPr>
        <w:widowControl w:val="0"/>
        <w:spacing w:after="0" w:line="240" w:lineRule="auto"/>
        <w:ind w:firstLine="720"/>
        <w:jc w:val="both"/>
        <w:rPr>
          <w:i/>
          <w:lang w:val="pt-BR"/>
        </w:rPr>
      </w:pPr>
      <w:r>
        <w:rPr>
          <w:i/>
          <w:lang w:val="pt-BR"/>
        </w:rPr>
        <w:t xml:space="preserve">b) </w:t>
      </w:r>
      <w:r>
        <w:rPr>
          <w:bCs/>
          <w:i/>
          <w:szCs w:val="28"/>
          <w:lang w:val="pt-BR"/>
        </w:rPr>
        <w:t xml:space="preserve">Đối tượng áp dụng </w:t>
      </w:r>
    </w:p>
    <w:p>
      <w:pPr>
        <w:widowControl w:val="0"/>
        <w:shd w:val="clear" w:color="auto" w:fill="FFFFFF"/>
        <w:spacing w:after="0" w:line="240" w:lineRule="auto"/>
        <w:ind w:firstLine="720"/>
        <w:jc w:val="both"/>
        <w:rPr>
          <w:szCs w:val="28"/>
        </w:rPr>
      </w:pPr>
      <w:r>
        <w:rPr>
          <w:szCs w:val="28"/>
        </w:rPr>
        <w:t>- Ủy ban nhân dân tỉnh, UBND xã, phường; các sở, ban ngành chuyên môn thuộc UBND tỉnh; các cơ quan khác có liên quan.</w:t>
      </w:r>
    </w:p>
    <w:p>
      <w:pPr>
        <w:widowControl w:val="0"/>
        <w:shd w:val="clear" w:color="auto" w:fill="FFFFFF"/>
        <w:spacing w:after="0" w:line="240" w:lineRule="auto"/>
        <w:ind w:firstLine="720"/>
        <w:jc w:val="both"/>
        <w:rPr>
          <w:szCs w:val="28"/>
        </w:rPr>
      </w:pPr>
      <w:r>
        <w:rPr>
          <w:szCs w:val="28"/>
        </w:rPr>
        <w:t>- Người sử dụng đất theo quy định tại Điều 4 Luật Đất đai.</w:t>
      </w:r>
    </w:p>
    <w:p>
      <w:pPr>
        <w:widowControl w:val="0"/>
        <w:shd w:val="clear" w:color="auto" w:fill="FFFFFF"/>
        <w:spacing w:after="0" w:line="240" w:lineRule="auto"/>
        <w:ind w:firstLine="720"/>
        <w:jc w:val="both"/>
        <w:rPr>
          <w:szCs w:val="28"/>
        </w:rPr>
      </w:pPr>
      <w:r>
        <w:rPr>
          <w:szCs w:val="28"/>
        </w:rPr>
        <w:t>- Các đối tượng khác có liên quan đến việc quản lý, sử dụng đất đai.</w:t>
      </w:r>
    </w:p>
    <w:p>
      <w:pPr>
        <w:tabs>
          <w:tab w:val="right" w:leader="dot" w:pos="7920"/>
        </w:tabs>
        <w:spacing w:after="0" w:line="240" w:lineRule="auto"/>
        <w:ind w:firstLine="720"/>
        <w:jc w:val="both"/>
        <w:rPr>
          <w:rFonts w:cs="Times New Roman"/>
          <w:szCs w:val="28"/>
        </w:rPr>
      </w:pPr>
      <w:r>
        <w:rPr>
          <w:rFonts w:cs="Times New Roman"/>
          <w:b/>
          <w:i/>
          <w:szCs w:val="28"/>
          <w:lang w:val="vi-VN"/>
        </w:rPr>
        <w:t xml:space="preserve">2. Bố cục Dự thảo: </w:t>
      </w:r>
      <w:r>
        <w:rPr>
          <w:rFonts w:cs="Times New Roman"/>
          <w:szCs w:val="28"/>
          <w:lang w:val="vi-VN"/>
        </w:rPr>
        <w:t xml:space="preserve">Dự thảo Quyết định được xây dựng theo Mẫu số 20 </w:t>
      </w:r>
      <w:r>
        <w:rPr>
          <w:lang w:val="vi-VN"/>
        </w:rPr>
        <w:t>Phụ lục III ban hành kèm theo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rFonts w:cs="Times New Roman"/>
          <w:szCs w:val="28"/>
          <w:lang w:val="vi-VN"/>
        </w:rPr>
        <w:t xml:space="preserve">, Quy định ban hành kèm theo Quyết định có </w:t>
      </w:r>
      <w:r>
        <w:rPr>
          <w:rFonts w:cs="Times New Roman"/>
          <w:szCs w:val="28"/>
        </w:rPr>
        <w:t>04 chương và 34 điều.</w:t>
      </w:r>
    </w:p>
    <w:p>
      <w:pPr>
        <w:tabs>
          <w:tab w:val="right" w:leader="dot" w:pos="7920"/>
        </w:tabs>
        <w:spacing w:after="0" w:line="240" w:lineRule="auto"/>
        <w:ind w:firstLine="720"/>
        <w:jc w:val="both"/>
        <w:rPr>
          <w:rFonts w:cs="Times New Roman"/>
          <w:szCs w:val="28"/>
        </w:rPr>
      </w:pPr>
      <w:r>
        <w:rPr>
          <w:rFonts w:cs="Times New Roman"/>
          <w:szCs w:val="28"/>
        </w:rPr>
        <w:t>Chương I. Những quy định chung gồm 02 điều về phạm vi điều chỉnh và đối tượng áp dụng.</w:t>
      </w:r>
    </w:p>
    <w:p>
      <w:pPr>
        <w:tabs>
          <w:tab w:val="right" w:leader="dot" w:pos="7920"/>
        </w:tabs>
        <w:spacing w:after="0" w:line="240" w:lineRule="auto"/>
        <w:ind w:firstLine="720"/>
        <w:jc w:val="both"/>
        <w:rPr>
          <w:rFonts w:cs="Times New Roman"/>
          <w:szCs w:val="28"/>
        </w:rPr>
      </w:pPr>
      <w:r>
        <w:rPr>
          <w:rFonts w:cs="Times New Roman"/>
          <w:szCs w:val="28"/>
        </w:rPr>
        <w:lastRenderedPageBreak/>
        <w:t>Chương II. Phân cấp, ủy quyền một số nhiệm vụ trong lĩnh vực đất đai gồm 02 điều về ủy quyền cho Chủ tịch UBND tỉnh và phân cấp cho Chủ tịch UBND cấp xã.</w:t>
      </w:r>
    </w:p>
    <w:p>
      <w:pPr>
        <w:tabs>
          <w:tab w:val="right" w:leader="dot" w:pos="7920"/>
        </w:tabs>
        <w:spacing w:after="0" w:line="240" w:lineRule="auto"/>
        <w:ind w:firstLine="720"/>
        <w:jc w:val="both"/>
        <w:rPr>
          <w:rFonts w:cs="Times New Roman"/>
          <w:szCs w:val="28"/>
        </w:rPr>
      </w:pPr>
      <w:r>
        <w:rPr>
          <w:rFonts w:cs="Times New Roman"/>
          <w:szCs w:val="28"/>
        </w:rPr>
        <w:t>Chương III. Quy định về trình tự, thủ tục hành chính đối với các nội dung được phân cấp, ủy quyền trong lĩnh vực đất đai gồm 28 điều.</w:t>
      </w:r>
    </w:p>
    <w:p>
      <w:pPr>
        <w:tabs>
          <w:tab w:val="right" w:leader="dot" w:pos="7920"/>
        </w:tabs>
        <w:spacing w:after="0" w:line="240" w:lineRule="auto"/>
        <w:ind w:firstLine="720"/>
        <w:jc w:val="both"/>
        <w:rPr>
          <w:rFonts w:cs="Times New Roman"/>
          <w:szCs w:val="28"/>
        </w:rPr>
      </w:pPr>
      <w:r>
        <w:rPr>
          <w:rFonts w:cs="Times New Roman"/>
          <w:szCs w:val="28"/>
        </w:rPr>
        <w:t>Chương IV. Điều khoản thi hành gồm 02 điều quy định về điều khoản chuyển tiếp và tổ chức thực hiện.</w:t>
      </w:r>
    </w:p>
    <w:p>
      <w:pPr>
        <w:spacing w:after="0" w:line="240" w:lineRule="auto"/>
        <w:ind w:firstLine="720"/>
        <w:contextualSpacing/>
        <w:jc w:val="both"/>
        <w:rPr>
          <w:b/>
          <w:i/>
          <w:lang w:val="pt-BR"/>
        </w:rPr>
      </w:pPr>
      <w:r>
        <w:rPr>
          <w:b/>
          <w:i/>
          <w:lang w:val="pt-BR"/>
        </w:rPr>
        <w:t xml:space="preserve">3. Nội dung cơ bản: </w:t>
      </w:r>
    </w:p>
    <w:p>
      <w:pPr>
        <w:spacing w:after="0" w:line="240" w:lineRule="auto"/>
        <w:ind w:firstLine="720"/>
        <w:contextualSpacing/>
        <w:jc w:val="both"/>
        <w:rPr>
          <w:rFonts w:cs="Times New Roman"/>
          <w:szCs w:val="28"/>
          <w:shd w:val="clear" w:color="auto" w:fill="FFFFFF"/>
        </w:rPr>
      </w:pPr>
      <w:r>
        <w:rPr>
          <w:rFonts w:cs="Times New Roman"/>
          <w:b/>
          <w:i/>
          <w:szCs w:val="28"/>
          <w:shd w:val="clear" w:color="auto" w:fill="FFFFFF"/>
        </w:rPr>
        <w:t>3.1.</w:t>
      </w:r>
      <w:r>
        <w:rPr>
          <w:rFonts w:cs="Times New Roman"/>
          <w:szCs w:val="28"/>
          <w:shd w:val="clear" w:color="auto" w:fill="FFFFFF"/>
          <w:lang w:val="vi-VN"/>
        </w:rPr>
        <w:t xml:space="preserve"> </w:t>
      </w:r>
      <w:r>
        <w:rPr>
          <w:rFonts w:cs="Times New Roman"/>
          <w:szCs w:val="28"/>
          <w:shd w:val="clear" w:color="auto" w:fill="FFFFFF"/>
        </w:rPr>
        <w:t>Ủy quyền cho Chủ tịch UBND cấp tỉnh</w:t>
      </w:r>
    </w:p>
    <w:p>
      <w:pPr>
        <w:spacing w:after="0" w:line="240" w:lineRule="auto"/>
        <w:ind w:firstLine="720"/>
        <w:contextualSpacing/>
        <w:jc w:val="both"/>
        <w:rPr>
          <w:i/>
          <w:szCs w:val="28"/>
          <w:lang w:val="vi-VN"/>
        </w:rPr>
      </w:pPr>
      <w:r>
        <w:rPr>
          <w:i/>
          <w:szCs w:val="28"/>
          <w:lang w:val="vi-VN"/>
        </w:rPr>
        <w:t xml:space="preserve">Lý do đề xuất:  </w:t>
      </w:r>
    </w:p>
    <w:p>
      <w:pPr>
        <w:spacing w:after="0" w:line="240" w:lineRule="auto"/>
        <w:ind w:firstLine="720"/>
        <w:contextualSpacing/>
        <w:jc w:val="both"/>
        <w:rPr>
          <w:rStyle w:val="fontstyle01"/>
          <w:color w:val="auto"/>
          <w:lang w:val="vi-VN"/>
        </w:rPr>
      </w:pPr>
      <w:r>
        <w:rPr>
          <w:szCs w:val="28"/>
          <w:lang w:val="vi-VN"/>
        </w:rPr>
        <w:t xml:space="preserve">- </w:t>
      </w:r>
      <w:r>
        <w:rPr>
          <w:rStyle w:val="fontstyle01"/>
          <w:color w:val="auto"/>
          <w:lang w:val="vi-VN"/>
        </w:rPr>
        <w:t xml:space="preserve">Căn cứ quy định tại khoản </w:t>
      </w:r>
      <w:r>
        <w:rPr>
          <w:rStyle w:val="fontstyle01"/>
          <w:color w:val="auto"/>
        </w:rPr>
        <w:t>1 Điều 14 và khoản 1 Điều 15 Nghị định số 49/2026/NĐ-CP</w:t>
      </w:r>
      <w:r>
        <w:rPr>
          <w:rStyle w:val="fontstyle01"/>
          <w:color w:val="auto"/>
          <w:lang w:val="vi-VN"/>
        </w:rPr>
        <w:t>.</w:t>
      </w:r>
    </w:p>
    <w:p>
      <w:pPr>
        <w:spacing w:after="0" w:line="240" w:lineRule="auto"/>
        <w:ind w:firstLine="720"/>
        <w:contextualSpacing/>
        <w:jc w:val="both"/>
        <w:rPr>
          <w:rStyle w:val="fontstyle01"/>
          <w:color w:val="auto"/>
        </w:rPr>
      </w:pPr>
      <w:r>
        <w:rPr>
          <w:rStyle w:val="fontstyle01"/>
          <w:color w:val="auto"/>
          <w:lang w:val="vi-VN"/>
        </w:rPr>
        <w:t>-</w:t>
      </w:r>
      <w:r>
        <w:rPr>
          <w:lang w:val="vi-VN"/>
        </w:rPr>
        <w:t xml:space="preserve"> </w:t>
      </w:r>
      <w:r>
        <w:rPr>
          <w:rStyle w:val="fontstyle01"/>
          <w:color w:val="auto"/>
        </w:rPr>
        <w:t>Kế thừa các nội dung nhiệm vụ đã phân cấp cho Chủ tịch UBND cấp tỉnh theo quy định tại Nghị định số 151/2025/NĐ-CP</w:t>
      </w:r>
      <w:r>
        <w:rPr>
          <w:rFonts w:cs="Times New Roman"/>
          <w:szCs w:val="28"/>
          <w:shd w:val="clear" w:color="auto" w:fill="FFFFFF"/>
        </w:rPr>
        <w:t>, cụ thể các nhiệm vụ:</w:t>
      </w:r>
      <w:r>
        <w:rPr>
          <w:rStyle w:val="fontstyle01"/>
          <w:color w:val="auto"/>
        </w:rPr>
        <w:t xml:space="preserve"> </w:t>
      </w:r>
    </w:p>
    <w:p>
      <w:pPr>
        <w:spacing w:after="0" w:line="240" w:lineRule="auto"/>
        <w:ind w:firstLine="720"/>
        <w:contextualSpacing/>
        <w:jc w:val="both"/>
        <w:rPr>
          <w:szCs w:val="28"/>
          <w:lang w:val="en-GB"/>
        </w:rPr>
      </w:pPr>
      <w:r>
        <w:rPr>
          <w:rStyle w:val="fontstyle01"/>
          <w:color w:val="auto"/>
        </w:rPr>
        <w:t xml:space="preserve">(1) </w:t>
      </w:r>
      <w:r>
        <w:rPr>
          <w:szCs w:val="28"/>
          <w:lang w:val="en-GB"/>
        </w:rPr>
        <w:t>Quyết định giao đất có thu tiền sử dụng đất, cho thuê đất thu tiền thuê đất một lần cho cả thời gian thuê đối với tổ chức trong nước, người gốc Việt Nam định cư ở nước ngoài, tổ chức kinh tế có vốn đầu tư nước ngoài, tổ chức nước ngoài có chức năng ngoại giao. Trừ trường hợp giao đất, cho thuê đất, cho phép chuyển mục đích sử dụng đất được miễn toàn bộ tiền sử dụng đất, miễn toàn bộ tiền thuê đất cho cả thời gian thuê theo quy định của Chính phủ về thu tiền sử dụng đất, tiền thuê đất;</w:t>
      </w:r>
    </w:p>
    <w:p>
      <w:pPr>
        <w:spacing w:after="0" w:line="240" w:lineRule="auto"/>
        <w:ind w:firstLine="720"/>
        <w:contextualSpacing/>
        <w:jc w:val="both"/>
        <w:rPr>
          <w:szCs w:val="28"/>
          <w:lang w:val="en-GB"/>
        </w:rPr>
      </w:pPr>
      <w:r>
        <w:rPr>
          <w:szCs w:val="28"/>
          <w:lang w:val="en-GB"/>
        </w:rPr>
        <w:t>(2) Cho phép chuyển mục đích sử dụng đất, điều chỉnh thời hạn sử dụng đất, gia hạn sử dụng đất, chuyển hình thức sử dụng đất, quyết định hình thức sử dụng đất đối với trường hợp sử dụng đất theo hình thức giao đất có thu tiền sử dụng đất hoặc cho thuê đất thu tiền thuê đất một lần cho cả thời gian thuê, trừ trường hợp được miễn toàn bộ tiền sử dụng đất, miễn toàn bộ tiền thuê đất cho cả thời gian thuê theo quy định của Chính phủ về thu tiền sử dụng đất, tiền thuê đất;</w:t>
      </w:r>
    </w:p>
    <w:p>
      <w:pPr>
        <w:spacing w:after="0" w:line="240" w:lineRule="auto"/>
        <w:ind w:firstLine="720"/>
        <w:contextualSpacing/>
        <w:jc w:val="both"/>
        <w:rPr>
          <w:szCs w:val="28"/>
          <w:lang w:val="en-GB"/>
        </w:rPr>
      </w:pPr>
      <w:r>
        <w:rPr>
          <w:szCs w:val="28"/>
          <w:lang w:val="en-GB"/>
        </w:rPr>
        <w:t>(3) Quyết định thu hồi đất do vi phạm pháp luật về đất đai đối với trường hợp thuộc thẩm quyền giao đất, cho thuê đất, cho phép chuyển mục đích sử dụng đất, quyết định hình thức sử dụng đất của Chủ tịch UBND tỉnh.</w:t>
      </w:r>
    </w:p>
    <w:p>
      <w:pPr>
        <w:spacing w:after="0" w:line="240" w:lineRule="auto"/>
        <w:ind w:firstLine="720"/>
        <w:contextualSpacing/>
        <w:jc w:val="both"/>
        <w:rPr>
          <w:szCs w:val="28"/>
          <w:lang w:val="en-GB"/>
        </w:rPr>
      </w:pPr>
      <w:r>
        <w:rPr>
          <w:szCs w:val="28"/>
          <w:lang w:val="en-GB"/>
        </w:rPr>
        <w:t>(4) Phê duyệt phương án đấu giá quyền sử dụng đất, quyết định đấu giá quyền sử dụng đất, phê duyệt giá khởi điểm của khu đất, thửa đất đấu giá, quyết định công nhận kết quả trúng đấu giá trong trường hợp đấu giá quyền sử dụng đất thuộc thẩm quyền giao đất, cho thuê đất của Chủ tịch UBND tỉnh;</w:t>
      </w:r>
    </w:p>
    <w:p>
      <w:pPr>
        <w:spacing w:after="0" w:line="240" w:lineRule="auto"/>
        <w:ind w:firstLine="720"/>
        <w:contextualSpacing/>
        <w:jc w:val="both"/>
        <w:rPr>
          <w:szCs w:val="28"/>
          <w:lang w:val="en-GB"/>
        </w:rPr>
      </w:pPr>
      <w:r>
        <w:rPr>
          <w:szCs w:val="28"/>
          <w:lang w:val="en-GB"/>
        </w:rPr>
        <w:t>(5) Thành lập Hội đồng thẩm định, phê duyệt phương án sử dụng đất của các công ty nông, lâm nghiệp;</w:t>
      </w:r>
    </w:p>
    <w:p>
      <w:pPr>
        <w:spacing w:after="0" w:line="240" w:lineRule="auto"/>
        <w:ind w:firstLine="720"/>
        <w:contextualSpacing/>
        <w:jc w:val="both"/>
        <w:rPr>
          <w:szCs w:val="28"/>
          <w:lang w:val="en-GB"/>
        </w:rPr>
      </w:pPr>
      <w:r>
        <w:rPr>
          <w:szCs w:val="28"/>
          <w:lang w:val="en-GB"/>
        </w:rPr>
        <w:t>(6) Quyết định giao đất, cho thuê đất cho công ty nông, lâm nghiệp đối với phần diện tích công ty nông, lâm nghiệp giữ lại theo quy định tại điểm a khoản 1 Điều 69 Nghị định số 102/2024/NĐ-CP.</w:t>
      </w:r>
    </w:p>
    <w:p>
      <w:pPr>
        <w:spacing w:after="0" w:line="240" w:lineRule="auto"/>
        <w:ind w:firstLine="720"/>
        <w:contextualSpacing/>
        <w:jc w:val="both"/>
        <w:rPr>
          <w:szCs w:val="28"/>
          <w:lang w:val="en-GB"/>
        </w:rPr>
      </w:pPr>
      <w:r>
        <w:rPr>
          <w:szCs w:val="28"/>
          <w:lang w:val="en-GB"/>
        </w:rPr>
        <w:t>(7) Thu hồi phần diện đất theo quy định tại điểm đ khoản 1 Điều 181 Luật Đất đai và điểm đ khoản 1 Điều 69 Nghị định số 102/2024/NĐ-CP;</w:t>
      </w:r>
    </w:p>
    <w:p>
      <w:pPr>
        <w:spacing w:after="0" w:line="240" w:lineRule="auto"/>
        <w:ind w:firstLine="720"/>
        <w:contextualSpacing/>
        <w:jc w:val="both"/>
        <w:rPr>
          <w:szCs w:val="28"/>
          <w:lang w:val="en-GB"/>
        </w:rPr>
      </w:pPr>
      <w:r>
        <w:rPr>
          <w:szCs w:val="28"/>
          <w:lang w:val="en-GB"/>
        </w:rPr>
        <w:lastRenderedPageBreak/>
        <w:t>(8) Chấp thuận hoặc không chấp thuận phương án sử dụng đất kết hợp đa mục đích theo thẩm quyền giao đất, cho thuê đất, cho phép chuyển mục đích sử dụng đất thuộc thẩm quyền của Chủ tịch UBND cấp tỉnh.</w:t>
      </w:r>
    </w:p>
    <w:p>
      <w:pPr>
        <w:spacing w:after="0" w:line="240" w:lineRule="auto"/>
        <w:ind w:firstLine="720"/>
        <w:contextualSpacing/>
        <w:jc w:val="both"/>
        <w:rPr>
          <w:szCs w:val="28"/>
        </w:rPr>
      </w:pPr>
      <w:r>
        <w:rPr>
          <w:szCs w:val="28"/>
          <w:lang w:val="en-GB"/>
        </w:rPr>
        <w:t xml:space="preserve">Ngoài ra, quá trình thực hiện, </w:t>
      </w:r>
      <w:r>
        <w:rPr>
          <w:szCs w:val="28"/>
        </w:rPr>
        <w:t xml:space="preserve">đối với các dự án thực hiện trên địa bàn 02 xã hoặc nhiều xã sẽ manh mún, mất nhiều thời gian xử lý hơn, ảnh hưởng đến doanh nghiệp khi thực hiện nhiều thủ tục hành chính nằm trên nhiều địa bàn xã. Để kịp thời xử lý các bất cập nêu trên, thuận lợi trong quá trình kiểm tra, quản lý sử dụng đất của các dự án trên địa bàn 02 xã giao về cho Chủ tịch UBND tỉnh thực hiện trong việc </w:t>
      </w:r>
      <w:r>
        <w:rPr>
          <w:szCs w:val="28"/>
          <w:lang w:val="en-GB"/>
        </w:rPr>
        <w:t>giao đất không thu tiền sử dụng đất, cho thuê đất thu tiền thuê đất hàng năm đối với tổ chức trong nước, người gốc Việt Nam định cư ở nước ngoài, tổ chức kinh tế có vốn đầu tư nước ngoài, tổ chức nước ngoài có chức năng ngoại giao, tổ chức tôn giáo, tổ chức tôn giáo trực thuộc trong trường hợp thực hiện trên địa giới hành chính từ 02 đơn vị cấp xã trở lên; Cho phép chuyển mục đích sử dụng đất, điều chỉnh thời hạn sử dụng đất, gia hạn sử dụng đất, chuyển hình thức sử dụng đất, quyết định hình thức sử dụng đất đối với trường hợp sử dụng đất theo hình thức giao đất không thu tiền sử dụng đất hoặc cho thuê đất thu tiền thuê đất hàng năm thực hiện trên địa giới hành chính từ 02 đơn vị cấp xã trở lên.</w:t>
      </w:r>
    </w:p>
    <w:p>
      <w:pPr>
        <w:spacing w:after="0" w:line="240" w:lineRule="auto"/>
        <w:ind w:firstLine="720"/>
        <w:contextualSpacing/>
        <w:jc w:val="both"/>
        <w:rPr>
          <w:szCs w:val="28"/>
          <w:lang w:val="en-GB"/>
        </w:rPr>
      </w:pPr>
      <w:r>
        <w:rPr>
          <w:b/>
          <w:i/>
          <w:szCs w:val="28"/>
          <w:lang w:val="en-GB"/>
        </w:rPr>
        <w:t>3.2</w:t>
      </w:r>
      <w:r>
        <w:rPr>
          <w:szCs w:val="28"/>
          <w:lang w:val="en-GB"/>
        </w:rPr>
        <w:t>. Phân cấp cho Chủ tịch UBND cấp xã</w:t>
      </w:r>
    </w:p>
    <w:p>
      <w:pPr>
        <w:spacing w:after="0" w:line="240" w:lineRule="auto"/>
        <w:ind w:firstLine="720"/>
        <w:contextualSpacing/>
        <w:jc w:val="both"/>
        <w:rPr>
          <w:i/>
          <w:szCs w:val="28"/>
          <w:lang w:val="vi-VN"/>
        </w:rPr>
      </w:pPr>
      <w:r>
        <w:rPr>
          <w:i/>
          <w:szCs w:val="28"/>
          <w:lang w:val="vi-VN"/>
        </w:rPr>
        <w:t xml:space="preserve">Lý do đề xuất:  </w:t>
      </w:r>
    </w:p>
    <w:p>
      <w:pPr>
        <w:spacing w:after="0" w:line="240" w:lineRule="auto"/>
        <w:ind w:firstLine="720"/>
        <w:contextualSpacing/>
        <w:jc w:val="both"/>
        <w:rPr>
          <w:rStyle w:val="fontstyle01"/>
          <w:color w:val="auto"/>
          <w:lang w:val="vi-VN"/>
        </w:rPr>
      </w:pPr>
      <w:r>
        <w:rPr>
          <w:szCs w:val="28"/>
          <w:lang w:val="vi-VN"/>
        </w:rPr>
        <w:t xml:space="preserve">- </w:t>
      </w:r>
      <w:r>
        <w:rPr>
          <w:rStyle w:val="fontstyle01"/>
          <w:color w:val="auto"/>
          <w:lang w:val="vi-VN"/>
        </w:rPr>
        <w:t xml:space="preserve">Căn cứ quy định tại khoản </w:t>
      </w:r>
      <w:r>
        <w:rPr>
          <w:rStyle w:val="fontstyle01"/>
          <w:color w:val="auto"/>
        </w:rPr>
        <w:t>1 Điều 14 và khoản 1 Điều 15 Nghị định số 49/2026/NĐ-CP</w:t>
      </w:r>
      <w:r>
        <w:rPr>
          <w:rStyle w:val="fontstyle01"/>
          <w:color w:val="auto"/>
          <w:lang w:val="vi-VN"/>
        </w:rPr>
        <w:t>.</w:t>
      </w:r>
    </w:p>
    <w:p>
      <w:pPr>
        <w:spacing w:after="0" w:line="240" w:lineRule="auto"/>
        <w:ind w:firstLine="720"/>
        <w:contextualSpacing/>
        <w:jc w:val="both"/>
        <w:rPr>
          <w:rFonts w:cs="Times New Roman"/>
          <w:szCs w:val="28"/>
          <w:shd w:val="clear" w:color="auto" w:fill="FFFFFF"/>
        </w:rPr>
      </w:pPr>
      <w:r>
        <w:rPr>
          <w:rStyle w:val="fontstyle01"/>
          <w:color w:val="auto"/>
          <w:lang w:val="vi-VN"/>
        </w:rPr>
        <w:t>-</w:t>
      </w:r>
      <w:r>
        <w:rPr>
          <w:lang w:val="vi-VN"/>
        </w:rPr>
        <w:t xml:space="preserve"> </w:t>
      </w:r>
      <w:r>
        <w:rPr>
          <w:rStyle w:val="fontstyle01"/>
          <w:color w:val="auto"/>
        </w:rPr>
        <w:t xml:space="preserve">Kế thừa các nội dung nhiệm vụ đã phân cấp cho Chủ tịch UBND cấp xã theo quy định tại Nghị định số 151/2025/NĐ-CP. </w:t>
      </w:r>
      <w:r>
        <w:rPr>
          <w:rFonts w:cs="Times New Roman"/>
          <w:szCs w:val="28"/>
          <w:shd w:val="clear" w:color="auto" w:fill="FFFFFF"/>
          <w:lang w:val="vi-VN"/>
        </w:rPr>
        <w:t xml:space="preserve">Qua thực tiễn triển khai, các quy định cơ bản phù hợp, bảo đảm khả thi trong tổ chức thực hiện, góp phần rút ngắn thời gian giải quyết thủ tục hành chính, nâng cao trách nhiệm của UBND cấp xã và đáp ứng yêu cầu quản lý nhà nước về </w:t>
      </w:r>
      <w:r>
        <w:rPr>
          <w:rFonts w:cs="Times New Roman"/>
          <w:szCs w:val="28"/>
          <w:shd w:val="clear" w:color="auto" w:fill="FFFFFF"/>
        </w:rPr>
        <w:t>công tác quản lý đất đai, cụ thể các nhiệm vụ:</w:t>
      </w:r>
    </w:p>
    <w:p>
      <w:pPr>
        <w:spacing w:after="0" w:line="240" w:lineRule="auto"/>
        <w:ind w:firstLine="720"/>
        <w:contextualSpacing/>
        <w:jc w:val="both"/>
        <w:rPr>
          <w:szCs w:val="28"/>
          <w:lang w:val="en-GB"/>
        </w:rPr>
      </w:pPr>
      <w:r>
        <w:rPr>
          <w:szCs w:val="28"/>
          <w:lang w:val="en-GB"/>
        </w:rPr>
        <w:t xml:space="preserve">(1) </w:t>
      </w:r>
      <w:r>
        <w:rPr>
          <w:szCs w:val="28"/>
          <w:shd w:val="clear" w:color="auto" w:fill="FFFFFF"/>
        </w:rPr>
        <w:t xml:space="preserve">Quyết định giao đất không thu tiền sử dụng đất; cho thuê đất thu tiền thuê đất hàng năm; giao đất có thu tiền sử dụng đất, cho thuê đất thu tiền thuê đất một lần cho cả thời gian thuê, cho phép chuyển mục đích sử dụng đất mà được miễn toàn bộ tiền sử dụng đất, tiền thuê đất cho cả thời gian thuê theo quy định của Chính phủ về thu tiền sử dụng đất, tiền thuê đất </w:t>
      </w:r>
      <w:r>
        <w:rPr>
          <w:szCs w:val="28"/>
          <w:lang w:val="en-GB"/>
        </w:rPr>
        <w:t>đối với tổ chức trong nước, tổ chức tôn giáo, tổ chức tôn giáo trực thuộc, người gốc Việt Nam định cư ở nước ngoài, tổ chức kinh tế có vốn đầu tư nước ngoài, tổ chức nước ngoài có chức năng ngoại giao. Trừ trường hợp sử dụng đất trên địa giới từ 02 đơn vị hành chính cấp xã trở lên.</w:t>
      </w:r>
    </w:p>
    <w:p>
      <w:pPr>
        <w:spacing w:after="0" w:line="240" w:lineRule="auto"/>
        <w:ind w:firstLine="720"/>
        <w:contextualSpacing/>
        <w:jc w:val="both"/>
        <w:rPr>
          <w:szCs w:val="28"/>
          <w:lang w:val="en-GB"/>
        </w:rPr>
      </w:pPr>
      <w:r>
        <w:rPr>
          <w:szCs w:val="28"/>
          <w:lang w:val="en-GB"/>
        </w:rPr>
        <w:t xml:space="preserve">(2) </w:t>
      </w:r>
      <w:r>
        <w:rPr>
          <w:szCs w:val="28"/>
          <w:shd w:val="clear" w:color="auto" w:fill="FFFFFF"/>
        </w:rPr>
        <w:t xml:space="preserve">Cho phép chuyển mục đích sử dụng đất, </w:t>
      </w:r>
      <w:r>
        <w:rPr>
          <w:szCs w:val="28"/>
          <w:lang w:val="en-GB"/>
        </w:rPr>
        <w:t>điều chỉnh thời hạn sử dụng đất, gia hạn sử dụng đất, chuyển hình thức sử dụng đất, công nhận quyền sử dụng đất đối với tổ chức trong nước, tổ chức tôn giáo, tổ chức tôn giáo trực thuộc, người gốc Việt Nam định cư ở nước ngoài, tổ chức kinh tế có vốn đầu tư nước ngoài, tổ chức nước ngoài có chức năng ngoại giao đối với trường hợp sử dụng đất theo hình thức giao đất không thu tiền sử dụng đất hoặc cho thuê đất thu tiền thuê đất hàng năm.</w:t>
      </w:r>
    </w:p>
    <w:p>
      <w:pPr>
        <w:spacing w:after="0" w:line="240" w:lineRule="auto"/>
        <w:ind w:firstLine="720"/>
        <w:contextualSpacing/>
        <w:jc w:val="both"/>
        <w:rPr>
          <w:szCs w:val="28"/>
          <w:shd w:val="clear" w:color="auto" w:fill="FFFFFF"/>
        </w:rPr>
      </w:pPr>
      <w:r>
        <w:rPr>
          <w:szCs w:val="28"/>
          <w:lang w:val="en-GB"/>
        </w:rPr>
        <w:lastRenderedPageBreak/>
        <w:t xml:space="preserve">(3) </w:t>
      </w:r>
      <w:r>
        <w:rPr>
          <w:szCs w:val="28"/>
          <w:shd w:val="clear" w:color="auto" w:fill="FFFFFF"/>
        </w:rPr>
        <w:t>Quyết định thu hồi đất do chấm dứt việc sử dụng đất theo pháp luật, tự nguyện trả lại đất, có nguy cơ đe dọa tính mạng con người, không còn khả năng tiếp tục.</w:t>
      </w:r>
    </w:p>
    <w:p>
      <w:pPr>
        <w:spacing w:after="0" w:line="240" w:lineRule="auto"/>
        <w:ind w:firstLine="720"/>
        <w:contextualSpacing/>
        <w:jc w:val="both"/>
        <w:rPr>
          <w:szCs w:val="28"/>
          <w:shd w:val="clear" w:color="auto" w:fill="FFFFFF"/>
        </w:rPr>
      </w:pPr>
      <w:r>
        <w:rPr>
          <w:szCs w:val="28"/>
          <w:shd w:val="clear" w:color="auto" w:fill="FFFFFF"/>
        </w:rPr>
        <w:t>(4) Chấp thuận phương án sử dụng đất nông nghiệp của tổ chức kinh tế quy định tại khoản 6 Điều 45 Luật Đất đai; phê duyệt phương án sử dụng đất lúa của cá nhân quy định tại khoản 7 Điều 45 Luật Đất đai.</w:t>
      </w:r>
    </w:p>
    <w:p>
      <w:pPr>
        <w:spacing w:after="0" w:line="240" w:lineRule="auto"/>
        <w:ind w:firstLine="720"/>
        <w:contextualSpacing/>
        <w:jc w:val="both"/>
        <w:rPr>
          <w:szCs w:val="28"/>
          <w:shd w:val="clear" w:color="auto" w:fill="FFFFFF"/>
        </w:rPr>
      </w:pPr>
      <w:r>
        <w:rPr>
          <w:szCs w:val="28"/>
          <w:shd w:val="clear" w:color="auto" w:fill="FFFFFF"/>
        </w:rPr>
        <w:t>(5) Quyết định giá bán nhà ở tái định cư kể cả trường hợp giao đất tái định cư cho đối tượng bị thu hồi đất trên địa bàn xã, phường khác.</w:t>
      </w:r>
    </w:p>
    <w:p>
      <w:pPr>
        <w:spacing w:after="0" w:line="240" w:lineRule="auto"/>
        <w:ind w:firstLine="720"/>
        <w:contextualSpacing/>
        <w:jc w:val="both"/>
        <w:rPr>
          <w:szCs w:val="28"/>
          <w:shd w:val="clear" w:color="auto" w:fill="FFFFFF"/>
        </w:rPr>
      </w:pPr>
      <w:r>
        <w:rPr>
          <w:szCs w:val="28"/>
          <w:shd w:val="clear" w:color="auto" w:fill="FFFFFF"/>
        </w:rPr>
        <w:t>(6) Phê duyệt phương án góp quyền sử dụng đất, điều chỉnh lại đất đai để thực hiện dự án chỉnh trang, phát triển khu dân cư nông thôn, mở rộng, nâng cấp đường giao thông nông thôn quy định tại điểm b khoản 3 Điều 219 Luật Đất đai.</w:t>
      </w:r>
    </w:p>
    <w:p>
      <w:pPr>
        <w:spacing w:after="0" w:line="240" w:lineRule="auto"/>
        <w:ind w:firstLine="720"/>
        <w:contextualSpacing/>
        <w:jc w:val="both"/>
        <w:rPr>
          <w:szCs w:val="28"/>
          <w:lang w:val="en-GB"/>
        </w:rPr>
      </w:pPr>
      <w:r>
        <w:rPr>
          <w:szCs w:val="28"/>
          <w:shd w:val="clear" w:color="auto" w:fill="FFFFFF"/>
        </w:rPr>
        <w:t xml:space="preserve">(7) </w:t>
      </w:r>
      <w:r>
        <w:rPr>
          <w:szCs w:val="28"/>
          <w:lang w:val="en-GB"/>
        </w:rPr>
        <w:t>Phê duyệt phương án đấu giá quyền sử dụng đất, quyết định đấu giá quyền sử dụng đất, phê duyệt giá khởi điểm của khu đất, thửa đất đấu giá, quyết định công nhận kết quả trúng đấu giá trong trường hợp đấu giá quyền sử dụng đất thuộc thẩm quyền giao đất, cho thuê đất của Chủ tịch UBND cấp xã.</w:t>
      </w:r>
    </w:p>
    <w:p>
      <w:pPr>
        <w:spacing w:after="0" w:line="240" w:lineRule="auto"/>
        <w:ind w:firstLine="720"/>
        <w:contextualSpacing/>
        <w:jc w:val="both"/>
        <w:rPr>
          <w:szCs w:val="28"/>
          <w:lang w:val="en-GB"/>
        </w:rPr>
      </w:pPr>
      <w:r>
        <w:rPr>
          <w:szCs w:val="28"/>
          <w:lang w:val="en-GB"/>
        </w:rPr>
        <w:t>(8) Quyết định giá đất cụ thể đối với trường hợp quy định tại điểm b khoản 2 Điều 160 Luật Đất đai.</w:t>
      </w:r>
    </w:p>
    <w:p>
      <w:pPr>
        <w:spacing w:after="0" w:line="240" w:lineRule="auto"/>
        <w:ind w:firstLine="720"/>
        <w:contextualSpacing/>
        <w:jc w:val="both"/>
        <w:rPr>
          <w:szCs w:val="28"/>
          <w:lang w:val="en-GB"/>
        </w:rPr>
      </w:pPr>
      <w:r>
        <w:rPr>
          <w:szCs w:val="28"/>
          <w:lang w:val="en-GB"/>
        </w:rPr>
        <w:t>(9) Chấp thuận hoặc không chấp thuận về phương án sử dụng đất nông nghiệp quy định tại khoản 2 Điều 78 Nghị định số 102/2024/NĐ-CP.</w:t>
      </w:r>
    </w:p>
    <w:p>
      <w:pPr>
        <w:spacing w:after="0" w:line="240" w:lineRule="auto"/>
        <w:ind w:firstLine="720"/>
        <w:contextualSpacing/>
        <w:jc w:val="both"/>
        <w:rPr>
          <w:szCs w:val="28"/>
          <w:lang w:val="en-GB"/>
        </w:rPr>
      </w:pPr>
      <w:r>
        <w:rPr>
          <w:szCs w:val="28"/>
          <w:lang w:val="en-GB"/>
        </w:rPr>
        <w:t>(10) Chấp thuận hoặc không chấp thuận phương án sử dụng đất kết hợp đa mục đích đối với trường hợp thuộc thẩm quyền giao đất, cho thuê đất, cho phép chuyển mục đích sử dụng đất, công nhận quyền sử dụng đất của Chủ tịch UBND cấp xã.</w:t>
      </w:r>
    </w:p>
    <w:p>
      <w:pPr>
        <w:spacing w:after="0" w:line="240" w:lineRule="auto"/>
        <w:ind w:firstLine="720"/>
        <w:contextualSpacing/>
        <w:jc w:val="both"/>
        <w:rPr>
          <w:szCs w:val="28"/>
          <w:lang w:val="en-GB"/>
        </w:rPr>
      </w:pPr>
      <w:r>
        <w:rPr>
          <w:szCs w:val="28"/>
          <w:lang w:val="en-GB"/>
        </w:rPr>
        <w:t>(11) Phê duyệt phương án góp quyền sử dụng đất, điều chỉnh lại đất đai đối với trường hợp góp quyền sử dụng đất của cá nhân quy định tại điểm c khoản 3 Điều 100 Nghị định số 102/2024/NĐ-CP.</w:t>
      </w:r>
    </w:p>
    <w:p>
      <w:pPr>
        <w:spacing w:after="0" w:line="240" w:lineRule="auto"/>
        <w:ind w:firstLine="720"/>
        <w:contextualSpacing/>
        <w:jc w:val="both"/>
        <w:rPr>
          <w:szCs w:val="28"/>
          <w:lang w:val="en-GB"/>
        </w:rPr>
      </w:pPr>
      <w:r>
        <w:rPr>
          <w:szCs w:val="28"/>
          <w:shd w:val="clear" w:color="auto" w:fill="FFFFFF"/>
        </w:rPr>
        <w:t>(12) Công bố kế hoạch, danh mục các khu đất thực hiện đấu giá quyền sử dụng đất trên cổng thông tin điện tử của UBND cấp xã.</w:t>
      </w:r>
    </w:p>
    <w:p>
      <w:pPr>
        <w:spacing w:after="0" w:line="240" w:lineRule="auto"/>
        <w:ind w:firstLine="720"/>
        <w:contextualSpacing/>
        <w:jc w:val="both"/>
        <w:rPr>
          <w:szCs w:val="28"/>
          <w:lang w:val="en-GB"/>
        </w:rPr>
      </w:pPr>
      <w:r>
        <w:rPr>
          <w:szCs w:val="28"/>
          <w:lang w:val="en-GB"/>
        </w:rPr>
        <w:t>Ngoài ra, qua thực tiễn thực hiện phân cấp theo Nghị định số 151/2025/NĐ-CP có một số nội dung bất cập, để thống nhất trong quá trình quản lý, kiểm tra sử dụng đất của các tổ chức và để thống nhất theo thẩm quyền giao đất, cho thuê đất, cho phép chuyển mục đích sử dụng đất đối với các nhiệm vụ đã phân cấp cho UBND cấp xã, cụ thể:</w:t>
      </w:r>
    </w:p>
    <w:p>
      <w:pPr>
        <w:spacing w:after="0" w:line="240" w:lineRule="auto"/>
        <w:ind w:firstLine="720"/>
        <w:contextualSpacing/>
        <w:jc w:val="both"/>
        <w:rPr>
          <w:szCs w:val="28"/>
          <w:lang w:val="en-GB"/>
        </w:rPr>
      </w:pPr>
      <w:r>
        <w:rPr>
          <w:szCs w:val="28"/>
          <w:lang w:val="en-GB"/>
        </w:rPr>
        <w:t xml:space="preserve">(13) </w:t>
      </w:r>
      <w:r>
        <w:rPr>
          <w:szCs w:val="28"/>
          <w:shd w:val="clear" w:color="auto" w:fill="FFFFFF"/>
        </w:rPr>
        <w:t xml:space="preserve">Quyết định thu hồi đất do vi phạm pháp luật về đất đai đối với </w:t>
      </w:r>
      <w:r>
        <w:rPr>
          <w:szCs w:val="28"/>
          <w:lang w:val="en-GB"/>
        </w:rPr>
        <w:t>đối với trường hợp thuộc thẩm quyền giao đất, cho thuê đất, cho phép chuyển mục đích sử dụng đất, công nhận quyền sử dụng đất của Chủ tịch UBND cấp xã.</w:t>
      </w:r>
    </w:p>
    <w:p>
      <w:pPr>
        <w:spacing w:after="0" w:line="240" w:lineRule="auto"/>
        <w:ind w:firstLine="720"/>
        <w:contextualSpacing/>
        <w:jc w:val="both"/>
        <w:rPr>
          <w:szCs w:val="28"/>
          <w:lang w:val="en-GB"/>
        </w:rPr>
      </w:pPr>
      <w:r>
        <w:rPr>
          <w:szCs w:val="28"/>
          <w:lang w:val="en-GB"/>
        </w:rPr>
        <w:t>(14) Quyết định thu hồi đất đối với trường hợp quy định tại điểm c khoản 2 Điều 142 Luật Đất đai.</w:t>
      </w:r>
    </w:p>
    <w:p>
      <w:pPr>
        <w:spacing w:after="0" w:line="240" w:lineRule="auto"/>
        <w:ind w:firstLine="720"/>
        <w:contextualSpacing/>
        <w:jc w:val="both"/>
        <w:rPr>
          <w:szCs w:val="28"/>
          <w:lang w:val="en-GB"/>
        </w:rPr>
      </w:pPr>
      <w:r>
        <w:rPr>
          <w:szCs w:val="28"/>
          <w:lang w:val="en-GB"/>
        </w:rPr>
        <w:t xml:space="preserve">(15) </w:t>
      </w:r>
      <w:r>
        <w:rPr>
          <w:szCs w:val="28"/>
          <w:shd w:val="clear" w:color="auto" w:fill="FFFFFF"/>
        </w:rPr>
        <w:t>Quyết định giá bán nhà ở tái định cư trên địa bàn.</w:t>
      </w:r>
    </w:p>
    <w:p>
      <w:pPr>
        <w:spacing w:after="0" w:line="240" w:lineRule="auto"/>
        <w:ind w:firstLine="720"/>
        <w:contextualSpacing/>
        <w:jc w:val="both"/>
        <w:rPr>
          <w:szCs w:val="28"/>
          <w:lang w:val="en-GB"/>
        </w:rPr>
      </w:pPr>
      <w:r>
        <w:rPr>
          <w:szCs w:val="28"/>
          <w:lang w:val="en-GB"/>
        </w:rPr>
        <w:t>(16) Chấp thuận hoặc không chấp thuận tổ chức kinh tế được nhận chuyển nhượng, thuê quyền sử dụng đất, nhận góp vốn bằng quyền sử dụng đất để thực hiện dự án.</w:t>
      </w:r>
    </w:p>
    <w:p>
      <w:pPr>
        <w:spacing w:after="0" w:line="240" w:lineRule="auto"/>
        <w:ind w:firstLine="720"/>
        <w:contextualSpacing/>
        <w:jc w:val="both"/>
        <w:rPr>
          <w:szCs w:val="28"/>
          <w:lang w:val="en-GB"/>
        </w:rPr>
      </w:pPr>
      <w:r>
        <w:rPr>
          <w:szCs w:val="28"/>
          <w:lang w:val="en-GB"/>
        </w:rPr>
        <w:t xml:space="preserve">(17) </w:t>
      </w:r>
      <w:r>
        <w:rPr>
          <w:szCs w:val="28"/>
          <w:shd w:val="clear" w:color="auto" w:fill="FFFFFF"/>
        </w:rPr>
        <w:t xml:space="preserve">Cơ quan nhà nước có thẩm quyền giao đất, cho thuê đất, cho phép chuyển mục đích sử dụng đất, công nhận quyền sử dụng đất theo quy định tại </w:t>
      </w:r>
      <w:r>
        <w:rPr>
          <w:szCs w:val="28"/>
          <w:shd w:val="clear" w:color="auto" w:fill="FFFFFF"/>
        </w:rPr>
        <w:lastRenderedPageBreak/>
        <w:t>Điều 3 và Điều 4 Quyết định này là cơ quan có thẩm quyền quyết định điều chỉnh Quyết định giao đất, cho thuê đất, cho phép chuyển mục đích sử dụng đất, công nhận quyền sử dụng đất; thu hồi đất do vi phạm pháp luật đất đai đối với trường hợp người sử dụng đất đã có quyết định giao đất, cho thuê đất, cho phép chuyển mục đích sử dụng đất, công nhận quyền sử dụng đất trước ngày Nghị định số 49/2026/NĐ-CP có hiệu lực thi hành (ngày 31 tháng 01 năm 2026).</w:t>
      </w:r>
    </w:p>
    <w:p>
      <w:pPr>
        <w:spacing w:after="0" w:line="240" w:lineRule="auto"/>
        <w:ind w:firstLine="720"/>
        <w:contextualSpacing/>
        <w:jc w:val="both"/>
        <w:rPr>
          <w:szCs w:val="28"/>
          <w:lang w:val="en-GB"/>
        </w:rPr>
      </w:pPr>
      <w:r>
        <w:rPr>
          <w:b/>
          <w:i/>
          <w:szCs w:val="28"/>
          <w:lang w:val="en-GB"/>
        </w:rPr>
        <w:t>3.3</w:t>
      </w:r>
      <w:r>
        <w:rPr>
          <w:szCs w:val="28"/>
          <w:lang w:val="en-GB"/>
        </w:rPr>
        <w:t>. Quy định trình tự, thủ tục hành chính về đất đai để thực hiện các nhiệm vụ đã phân cấp ủy quyền theo quy định tại khoản 1 Điều 14 Nghị định số 49/2026/NĐ-CP.</w:t>
      </w:r>
    </w:p>
    <w:p>
      <w:pPr>
        <w:spacing w:after="0" w:line="240" w:lineRule="auto"/>
        <w:ind w:firstLine="720"/>
        <w:contextualSpacing/>
        <w:jc w:val="both"/>
        <w:rPr>
          <w:szCs w:val="28"/>
          <w:lang w:val="en-GB"/>
        </w:rPr>
      </w:pPr>
      <w:r>
        <w:rPr>
          <w:szCs w:val="28"/>
          <w:lang w:val="en-GB"/>
        </w:rPr>
        <w:t>Lý do: thực hiện theo quy định tại khoản 1 Điều 15 Nghị định số 49/2026/NĐ-CP.</w:t>
      </w:r>
    </w:p>
    <w:p>
      <w:pPr>
        <w:spacing w:after="0" w:line="240" w:lineRule="auto"/>
        <w:ind w:firstLine="720"/>
        <w:contextualSpacing/>
        <w:jc w:val="both"/>
        <w:rPr>
          <w:szCs w:val="28"/>
          <w:lang w:val="en-GB"/>
        </w:rPr>
      </w:pPr>
      <w:r>
        <w:rPr>
          <w:szCs w:val="28"/>
          <w:lang w:val="en-GB"/>
        </w:rPr>
        <w:t>Về trình tự, thủ tục hành chính về đất đai cơ bản kế thừa quy định của Nghị định số 151/2025/NĐ-CP và có điều chỉnh bổ sung một số nội dung theo quy định tại Nghị định số 49/2026/NĐ-CP.</w:t>
      </w:r>
    </w:p>
    <w:p>
      <w:pPr>
        <w:spacing w:after="0" w:line="240" w:lineRule="auto"/>
        <w:ind w:firstLine="720"/>
        <w:contextualSpacing/>
        <w:jc w:val="both"/>
        <w:rPr>
          <w:rFonts w:cs="Times New Roman"/>
          <w:szCs w:val="28"/>
          <w:shd w:val="clear" w:color="auto" w:fill="FFFFFF"/>
          <w:lang w:val="vi-VN"/>
        </w:rPr>
      </w:pPr>
      <w:r>
        <w:rPr>
          <w:rFonts w:cs="Times New Roman"/>
          <w:b/>
          <w:lang w:val="vi-VN"/>
        </w:rPr>
        <w:t xml:space="preserve">V. NHỮNG NỘI DUNG BỔ SUNG MỚI SO VỚI DỰ THẢO VĂN BẢN GỬI THẨM ĐỊNH (NẾU CÓ): </w:t>
      </w:r>
      <w:r>
        <w:rPr>
          <w:rFonts w:cs="Times New Roman"/>
          <w:lang w:val="vi-VN"/>
        </w:rPr>
        <w:t>Không.</w:t>
      </w:r>
    </w:p>
    <w:p>
      <w:pPr>
        <w:spacing w:after="0" w:line="240" w:lineRule="auto"/>
        <w:ind w:firstLine="720"/>
        <w:jc w:val="both"/>
        <w:rPr>
          <w:rFonts w:cs="Times New Roman"/>
          <w:b/>
          <w:bCs/>
          <w:szCs w:val="28"/>
          <w:lang w:val="vi-VN"/>
        </w:rPr>
      </w:pPr>
      <w:r>
        <w:rPr>
          <w:rFonts w:cs="Times New Roman"/>
          <w:b/>
          <w:bCs/>
          <w:szCs w:val="28"/>
          <w:lang w:val="vi-VN"/>
        </w:rPr>
        <w:t>VI. DỰ KIẾN NGUỒN LỰC, ĐIỀU KIỆN ĐẢM BẢO CHO VIỆC THI HÀNH VĂN BẢN VÀ THỜI GIAN TRÌNH BAN HÀNH</w:t>
      </w:r>
    </w:p>
    <w:p>
      <w:pPr>
        <w:pStyle w:val="ListParagraph"/>
        <w:spacing w:after="0" w:line="240" w:lineRule="auto"/>
        <w:ind w:left="0" w:firstLine="720"/>
        <w:jc w:val="both"/>
        <w:rPr>
          <w:rFonts w:cs="Times New Roman"/>
          <w:b/>
          <w:bCs/>
          <w:i/>
          <w:szCs w:val="28"/>
          <w:lang w:val="vi-VN"/>
        </w:rPr>
      </w:pPr>
      <w:r>
        <w:rPr>
          <w:rFonts w:cs="Times New Roman"/>
          <w:b/>
          <w:bCs/>
          <w:i/>
          <w:szCs w:val="28"/>
          <w:lang w:val="vi-VN"/>
        </w:rPr>
        <w:t>1. Dự kiến nguồn lực, điều kiện đảm bảo cho việc thi hành văn bản</w:t>
      </w:r>
    </w:p>
    <w:p>
      <w:pPr>
        <w:spacing w:after="0" w:line="240" w:lineRule="auto"/>
        <w:ind w:firstLine="720"/>
        <w:jc w:val="both"/>
        <w:rPr>
          <w:rFonts w:cs="Times New Roman"/>
          <w:b/>
          <w:bCs/>
          <w:i/>
          <w:szCs w:val="28"/>
          <w:lang w:val="vi-VN"/>
        </w:rPr>
      </w:pPr>
      <w:r>
        <w:rPr>
          <w:lang w:val="vi-VN"/>
        </w:rPr>
        <w:t xml:space="preserve">Quyết định ban hành không phát sinh kinh phí tổ chức thực hiện. UBND tỉnh chỉ đạo việc thực hiện Quyết định theo quy định. </w:t>
      </w:r>
    </w:p>
    <w:p>
      <w:pPr>
        <w:spacing w:after="0" w:line="240" w:lineRule="auto"/>
        <w:ind w:firstLine="720"/>
        <w:jc w:val="both"/>
        <w:rPr>
          <w:rFonts w:cs="Times New Roman"/>
          <w:b/>
          <w:bCs/>
          <w:i/>
          <w:szCs w:val="28"/>
        </w:rPr>
      </w:pPr>
      <w:r>
        <w:rPr>
          <w:rFonts w:cs="Times New Roman"/>
          <w:b/>
          <w:bCs/>
          <w:i/>
          <w:szCs w:val="28"/>
        </w:rPr>
        <w:t>2. Dự kiến thời gian trình ban hành</w:t>
      </w:r>
    </w:p>
    <w:p>
      <w:pPr>
        <w:spacing w:after="0" w:line="240" w:lineRule="auto"/>
        <w:ind w:firstLine="720"/>
        <w:jc w:val="both"/>
        <w:rPr>
          <w:rFonts w:cs="Times New Roman"/>
          <w:bCs/>
          <w:szCs w:val="28"/>
        </w:rPr>
      </w:pPr>
      <w:r>
        <w:rPr>
          <w:rFonts w:cs="Times New Roman"/>
          <w:bCs/>
          <w:szCs w:val="28"/>
        </w:rPr>
        <w:t>Dự kiến thời gian trình UBND tỉnh ban hành Quyết định trong tháng 4/2026.</w:t>
      </w:r>
    </w:p>
    <w:p>
      <w:pPr>
        <w:spacing w:after="0" w:line="240" w:lineRule="auto"/>
        <w:ind w:firstLine="720"/>
        <w:jc w:val="both"/>
        <w:rPr>
          <w:b/>
          <w:szCs w:val="28"/>
        </w:rPr>
      </w:pPr>
      <w:r>
        <w:rPr>
          <w:szCs w:val="28"/>
        </w:rPr>
        <w:t xml:space="preserve">Trên đây là Tờ trình </w:t>
      </w:r>
      <w:r>
        <w:rPr>
          <w:bCs/>
          <w:szCs w:val="28"/>
        </w:rPr>
        <w:t xml:space="preserve">Dự thảo </w:t>
      </w:r>
      <w:r>
        <w:t>Quyết định Quy định phân cấp ủy quyền một số nhiêm vụ trong lĩnh vực đất đai trên địa bàn tỉnh Hà Tĩnh,</w:t>
      </w:r>
      <w:r>
        <w:rPr>
          <w:szCs w:val="28"/>
        </w:rPr>
        <w:t xml:space="preserve"> kính trình Uỷ ban nhân dân tỉnh xem xét, quyết định.</w:t>
      </w:r>
    </w:p>
    <w:p>
      <w:pPr>
        <w:tabs>
          <w:tab w:val="right" w:leader="dot" w:pos="7920"/>
        </w:tabs>
        <w:spacing w:after="0" w:line="240" w:lineRule="auto"/>
        <w:ind w:firstLine="720"/>
        <w:jc w:val="both"/>
        <w:rPr>
          <w:rFonts w:cs="Times New Roman"/>
          <w:i/>
          <w:szCs w:val="28"/>
        </w:rPr>
      </w:pPr>
      <w:r>
        <w:rPr>
          <w:rFonts w:cs="Times New Roman"/>
          <w:i/>
          <w:szCs w:val="28"/>
        </w:rPr>
        <w:t xml:space="preserve">Xin gửi kèm theo Tờ trình này các tài liệu sau: </w:t>
      </w:r>
    </w:p>
    <w:p>
      <w:pPr>
        <w:pStyle w:val="Default"/>
        <w:ind w:firstLine="720"/>
        <w:jc w:val="both"/>
        <w:rPr>
          <w:i/>
          <w:color w:val="auto"/>
          <w:sz w:val="28"/>
          <w:szCs w:val="28"/>
        </w:rPr>
      </w:pPr>
      <w:r>
        <w:rPr>
          <w:i/>
          <w:color w:val="auto"/>
          <w:sz w:val="28"/>
          <w:szCs w:val="28"/>
        </w:rPr>
        <w:t xml:space="preserve"> (1) Dự thảo Quyết định Quy định phân cấp ủy quyền một số nhiệm vụ trong lĩnh vực đất đai trên địa bàn tỉnh Hà Tĩnh;</w:t>
      </w:r>
    </w:p>
    <w:p>
      <w:pPr>
        <w:tabs>
          <w:tab w:val="right" w:leader="dot" w:pos="7920"/>
        </w:tabs>
        <w:spacing w:after="0" w:line="240" w:lineRule="auto"/>
        <w:ind w:firstLine="720"/>
        <w:jc w:val="both"/>
        <w:rPr>
          <w:rFonts w:cs="Times New Roman"/>
          <w:i/>
          <w:szCs w:val="28"/>
        </w:rPr>
      </w:pPr>
      <w:r>
        <w:rPr>
          <w:rFonts w:cs="Times New Roman"/>
          <w:i/>
          <w:szCs w:val="28"/>
        </w:rPr>
        <w:t>(2) Văn bản góp ý của các Sở, ngành, địa phương, đơn vị;</w:t>
      </w:r>
    </w:p>
    <w:p>
      <w:pPr>
        <w:tabs>
          <w:tab w:val="right" w:leader="dot" w:pos="7920"/>
        </w:tabs>
        <w:spacing w:after="0" w:line="240" w:lineRule="auto"/>
        <w:ind w:firstLine="720"/>
        <w:jc w:val="both"/>
        <w:rPr>
          <w:rFonts w:cs="Times New Roman"/>
          <w:i/>
          <w:szCs w:val="28"/>
        </w:rPr>
      </w:pPr>
      <w:r>
        <w:rPr>
          <w:rFonts w:cs="Times New Roman"/>
          <w:i/>
          <w:szCs w:val="28"/>
        </w:rPr>
        <w:tab/>
        <w:t>(3) Bảng tổng hợp tiếp thu, giải trình các ý kiến góp ý đối với Dự thảo;</w:t>
      </w:r>
    </w:p>
    <w:p>
      <w:pPr>
        <w:tabs>
          <w:tab w:val="right" w:leader="dot" w:pos="7920"/>
        </w:tabs>
        <w:spacing w:after="0" w:line="240" w:lineRule="auto"/>
        <w:ind w:firstLine="720"/>
        <w:jc w:val="both"/>
        <w:rPr>
          <w:rFonts w:cs="Times New Roman"/>
          <w:i/>
          <w:szCs w:val="28"/>
        </w:rPr>
      </w:pPr>
      <w:r>
        <w:rPr>
          <w:rFonts w:cs="Times New Roman"/>
          <w:i/>
          <w:szCs w:val="28"/>
        </w:rPr>
        <w:t>(4) Báo cáo thẩm định của Sở Tư pháp tại Văn bản số ……/BC-STP ngày ….3/2026</w:t>
      </w:r>
      <w:r>
        <w:rPr>
          <w:szCs w:val="28"/>
        </w:rPr>
        <w:t>./.</w:t>
      </w:r>
    </w:p>
    <w:p>
      <w:pPr>
        <w:spacing w:after="0" w:line="240" w:lineRule="auto"/>
        <w:ind w:firstLine="720"/>
        <w:jc w:val="both"/>
        <w:rPr>
          <w:sz w:val="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3402"/>
      </w:tblGrid>
      <w:tr>
        <w:trPr>
          <w:trHeight w:val="166"/>
        </w:trPr>
        <w:tc>
          <w:tcPr>
            <w:tcW w:w="5562" w:type="dxa"/>
          </w:tcPr>
          <w:p>
            <w:pPr>
              <w:jc w:val="both"/>
              <w:rPr>
                <w:b/>
                <w:i/>
                <w:sz w:val="24"/>
                <w:szCs w:val="24"/>
                <w:lang w:val="vi-VN"/>
              </w:rPr>
            </w:pPr>
            <w:r>
              <w:rPr>
                <w:b/>
                <w:i/>
                <w:sz w:val="24"/>
                <w:szCs w:val="24"/>
                <w:lang w:val="vi-VN"/>
              </w:rPr>
              <w:t>Nơi nhận:</w:t>
            </w:r>
          </w:p>
          <w:p>
            <w:pPr>
              <w:jc w:val="both"/>
              <w:rPr>
                <w:sz w:val="22"/>
              </w:rPr>
            </w:pPr>
            <w:r>
              <w:rPr>
                <w:sz w:val="22"/>
              </w:rPr>
              <w:t>- Như trên;</w:t>
            </w:r>
          </w:p>
          <w:p>
            <w:pPr>
              <w:jc w:val="both"/>
              <w:rPr>
                <w:sz w:val="22"/>
              </w:rPr>
            </w:pPr>
            <w:r>
              <w:rPr>
                <w:sz w:val="22"/>
              </w:rPr>
              <w:t xml:space="preserve">- Giám đốc, PGĐ sở; </w:t>
            </w:r>
          </w:p>
          <w:p>
            <w:pPr>
              <w:jc w:val="both"/>
              <w:rPr>
                <w:sz w:val="22"/>
              </w:rPr>
            </w:pPr>
            <w:r>
              <w:rPr>
                <w:sz w:val="22"/>
              </w:rPr>
              <w:t xml:space="preserve">- Các sở: Tài chính, Tư pháp, </w:t>
            </w:r>
          </w:p>
          <w:p>
            <w:pPr>
              <w:jc w:val="both"/>
              <w:rPr>
                <w:sz w:val="22"/>
              </w:rPr>
            </w:pPr>
            <w:r>
              <w:rPr>
                <w:sz w:val="22"/>
              </w:rPr>
              <w:t>Khoa học và Công nghệ, Nội vụ;</w:t>
            </w:r>
          </w:p>
          <w:p>
            <w:pPr>
              <w:jc w:val="both"/>
              <w:rPr>
                <w:sz w:val="22"/>
              </w:rPr>
            </w:pPr>
            <w:r>
              <w:rPr>
                <w:sz w:val="22"/>
              </w:rPr>
              <w:t>- UBND các xã, phường;</w:t>
            </w:r>
          </w:p>
          <w:p>
            <w:pPr>
              <w:jc w:val="both"/>
              <w:rPr>
                <w:sz w:val="24"/>
              </w:rPr>
            </w:pPr>
            <w:r>
              <w:rPr>
                <w:sz w:val="22"/>
              </w:rPr>
              <w:t>- Lưu: VT, QLĐĐ, TTT</w:t>
            </w:r>
            <w:r>
              <w:rPr>
                <w:rFonts w:eastAsia="Calibri" w:cs="Times New Roman"/>
                <w:sz w:val="22"/>
              </w:rPr>
              <w:t>.</w:t>
            </w:r>
            <w:r>
              <w:rPr>
                <w:rFonts w:eastAsia="Calibri" w:cs="Times New Roman"/>
                <w:sz w:val="24"/>
              </w:rPr>
              <w:t xml:space="preserve">                  </w:t>
            </w:r>
            <w:r>
              <w:rPr>
                <w:sz w:val="20"/>
                <w:lang w:val="vi-VN"/>
              </w:rPr>
              <w:t xml:space="preserve"> </w:t>
            </w:r>
          </w:p>
        </w:tc>
        <w:tc>
          <w:tcPr>
            <w:tcW w:w="3402" w:type="dxa"/>
          </w:tcPr>
          <w:p>
            <w:pPr>
              <w:jc w:val="center"/>
              <w:rPr>
                <w:b/>
                <w:szCs w:val="28"/>
              </w:rPr>
            </w:pPr>
            <w:r>
              <w:rPr>
                <w:b/>
                <w:szCs w:val="28"/>
                <w:lang w:val="vi-VN"/>
              </w:rPr>
              <w:t>GIÁM ĐỐC</w:t>
            </w:r>
          </w:p>
          <w:p>
            <w:pPr>
              <w:jc w:val="center"/>
              <w:rPr>
                <w:b/>
                <w:szCs w:val="28"/>
                <w:lang w:val="vi-VN"/>
              </w:rPr>
            </w:pPr>
          </w:p>
          <w:p>
            <w:pPr>
              <w:tabs>
                <w:tab w:val="left" w:pos="2955"/>
              </w:tabs>
              <w:jc w:val="center"/>
              <w:rPr>
                <w:szCs w:val="28"/>
              </w:rPr>
            </w:pPr>
          </w:p>
          <w:p>
            <w:pPr>
              <w:tabs>
                <w:tab w:val="left" w:pos="2955"/>
              </w:tabs>
              <w:jc w:val="center"/>
              <w:rPr>
                <w:sz w:val="8"/>
                <w:szCs w:val="28"/>
              </w:rPr>
            </w:pPr>
          </w:p>
          <w:p>
            <w:pPr>
              <w:tabs>
                <w:tab w:val="left" w:pos="2955"/>
              </w:tabs>
              <w:jc w:val="center"/>
              <w:rPr>
                <w:sz w:val="32"/>
                <w:szCs w:val="28"/>
              </w:rPr>
            </w:pPr>
          </w:p>
          <w:p>
            <w:pPr>
              <w:tabs>
                <w:tab w:val="left" w:pos="2955"/>
              </w:tabs>
              <w:rPr>
                <w:szCs w:val="28"/>
              </w:rPr>
            </w:pPr>
          </w:p>
          <w:p>
            <w:pPr>
              <w:tabs>
                <w:tab w:val="left" w:pos="2955"/>
              </w:tabs>
              <w:spacing w:after="60"/>
              <w:jc w:val="center"/>
              <w:rPr>
                <w:b/>
                <w:sz w:val="24"/>
                <w:lang w:val="vi-VN"/>
              </w:rPr>
            </w:pPr>
            <w:r>
              <w:rPr>
                <w:b/>
                <w:szCs w:val="28"/>
              </w:rPr>
              <w:t>Lê Ngọc Huấn</w:t>
            </w:r>
            <w:bookmarkStart w:id="2" w:name="_GoBack"/>
            <w:bookmarkEnd w:id="2"/>
          </w:p>
        </w:tc>
      </w:tr>
    </w:tbl>
    <w:p>
      <w:pPr>
        <w:spacing w:after="0"/>
        <w:ind w:firstLine="567"/>
        <w:jc w:val="both"/>
        <w:rPr>
          <w:lang w:val="vi-VN"/>
        </w:rPr>
      </w:pPr>
    </w:p>
    <w:sectPr>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768433"/>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47C"/>
    <w:multiLevelType w:val="hybridMultilevel"/>
    <w:tmpl w:val="F3742F20"/>
    <w:lvl w:ilvl="0" w:tplc="FDBA8EF6">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17194340"/>
    <w:multiLevelType w:val="hybridMultilevel"/>
    <w:tmpl w:val="EB1C35E2"/>
    <w:lvl w:ilvl="0" w:tplc="A75ABA2E">
      <w:start w:val="2"/>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nsid w:val="222A5422"/>
    <w:multiLevelType w:val="hybridMultilevel"/>
    <w:tmpl w:val="D3DE9118"/>
    <w:lvl w:ilvl="0" w:tplc="1D0230C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BD0633D"/>
    <w:multiLevelType w:val="hybridMultilevel"/>
    <w:tmpl w:val="9014F510"/>
    <w:lvl w:ilvl="0" w:tplc="C076FEC6">
      <w:start w:val="2"/>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nsid w:val="4140636B"/>
    <w:multiLevelType w:val="hybridMultilevel"/>
    <w:tmpl w:val="34D05652"/>
    <w:lvl w:ilvl="0" w:tplc="5A7CA0AA">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nsid w:val="44C73959"/>
    <w:multiLevelType w:val="hybridMultilevel"/>
    <w:tmpl w:val="692886E4"/>
    <w:lvl w:ilvl="0" w:tplc="74B8233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BE58BB"/>
    <w:multiLevelType w:val="hybridMultilevel"/>
    <w:tmpl w:val="05F27F8C"/>
    <w:lvl w:ilvl="0" w:tplc="A1DAD092">
      <w:start w:val="1"/>
      <w:numFmt w:val="decimal"/>
      <w:suff w:val="space"/>
      <w:lvlText w:val="Điều %1."/>
      <w:lvlJc w:val="left"/>
      <w:pPr>
        <w:ind w:left="415" w:firstLine="720"/>
      </w:pPr>
      <w:rPr>
        <w:rFonts w:ascii="Times New Roman" w:hAnsi="Times New Roman" w:cs="Times New Roman" w:hint="default"/>
        <w:b/>
        <w:i w:val="0"/>
        <w:color w:val="auto"/>
        <w:sz w:val="28"/>
        <w:szCs w:val="28"/>
      </w:rPr>
    </w:lvl>
    <w:lvl w:ilvl="1" w:tplc="5504CD88">
      <w:start w:val="1"/>
      <w:numFmt w:val="decimal"/>
      <w:suff w:val="space"/>
      <w:lvlText w:val="%2."/>
      <w:lvlJc w:val="left"/>
      <w:pPr>
        <w:ind w:left="3118" w:firstLine="720"/>
      </w:pPr>
      <w:rPr>
        <w:rFonts w:hint="default"/>
      </w:rPr>
    </w:lvl>
    <w:lvl w:ilvl="2" w:tplc="4C68BA98">
      <w:start w:val="1"/>
      <w:numFmt w:val="lowerLetter"/>
      <w:suff w:val="space"/>
      <w:lvlText w:val="%3)"/>
      <w:lvlJc w:val="left"/>
      <w:pPr>
        <w:ind w:left="3118" w:firstLine="720"/>
      </w:pPr>
      <w:rPr>
        <w:rFonts w:hint="default"/>
      </w:rPr>
    </w:lvl>
    <w:lvl w:ilvl="3" w:tplc="0409000F" w:tentative="1">
      <w:start w:val="1"/>
      <w:numFmt w:val="decimal"/>
      <w:lvlText w:val="%4."/>
      <w:lvlJc w:val="left"/>
      <w:pPr>
        <w:ind w:left="6085" w:hanging="360"/>
      </w:pPr>
    </w:lvl>
    <w:lvl w:ilvl="4" w:tplc="04090019" w:tentative="1">
      <w:start w:val="1"/>
      <w:numFmt w:val="lowerLetter"/>
      <w:lvlText w:val="%5."/>
      <w:lvlJc w:val="left"/>
      <w:pPr>
        <w:ind w:left="6805" w:hanging="360"/>
      </w:pPr>
    </w:lvl>
    <w:lvl w:ilvl="5" w:tplc="0409001B" w:tentative="1">
      <w:start w:val="1"/>
      <w:numFmt w:val="lowerRoman"/>
      <w:lvlText w:val="%6."/>
      <w:lvlJc w:val="right"/>
      <w:pPr>
        <w:ind w:left="7525" w:hanging="180"/>
      </w:pPr>
    </w:lvl>
    <w:lvl w:ilvl="6" w:tplc="0409000F" w:tentative="1">
      <w:start w:val="1"/>
      <w:numFmt w:val="decimal"/>
      <w:lvlText w:val="%7."/>
      <w:lvlJc w:val="left"/>
      <w:pPr>
        <w:ind w:left="8245" w:hanging="360"/>
      </w:pPr>
    </w:lvl>
    <w:lvl w:ilvl="7" w:tplc="04090019" w:tentative="1">
      <w:start w:val="1"/>
      <w:numFmt w:val="lowerLetter"/>
      <w:lvlText w:val="%8."/>
      <w:lvlJc w:val="left"/>
      <w:pPr>
        <w:ind w:left="8965" w:hanging="360"/>
      </w:pPr>
    </w:lvl>
    <w:lvl w:ilvl="8" w:tplc="0409001B" w:tentative="1">
      <w:start w:val="1"/>
      <w:numFmt w:val="lowerRoman"/>
      <w:lvlText w:val="%9."/>
      <w:lvlJc w:val="right"/>
      <w:pPr>
        <w:ind w:left="9685" w:hanging="180"/>
      </w:pPr>
    </w:lvl>
  </w:abstractNum>
  <w:abstractNum w:abstractNumId="8">
    <w:nsid w:val="480A7C3F"/>
    <w:multiLevelType w:val="hybridMultilevel"/>
    <w:tmpl w:val="A2BC8BE6"/>
    <w:lvl w:ilvl="0" w:tplc="20DA9A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CA21F06"/>
    <w:multiLevelType w:val="hybridMultilevel"/>
    <w:tmpl w:val="A38C9F44"/>
    <w:lvl w:ilvl="0" w:tplc="F2424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D16772"/>
    <w:multiLevelType w:val="hybridMultilevel"/>
    <w:tmpl w:val="34C268CA"/>
    <w:lvl w:ilvl="0" w:tplc="24E23E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5392075"/>
    <w:multiLevelType w:val="hybridMultilevel"/>
    <w:tmpl w:val="C094A27E"/>
    <w:lvl w:ilvl="0" w:tplc="17A2F2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566F8B"/>
    <w:multiLevelType w:val="multilevel"/>
    <w:tmpl w:val="65A870C6"/>
    <w:lvl w:ilvl="0">
      <w:start w:val="1"/>
      <w:numFmt w:val="decimal"/>
      <w:lvlText w:val="%1."/>
      <w:lvlJc w:val="left"/>
      <w:pPr>
        <w:ind w:left="1040" w:hanging="360"/>
      </w:pPr>
      <w:rPr>
        <w:rFonts w:hint="default"/>
        <w:b/>
      </w:rPr>
    </w:lvl>
    <w:lvl w:ilvl="1">
      <w:start w:val="1"/>
      <w:numFmt w:val="decimal"/>
      <w:isLgl/>
      <w:lvlText w:val="%1.%2"/>
      <w:lvlJc w:val="left"/>
      <w:pPr>
        <w:ind w:left="1055" w:hanging="375"/>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3">
    <w:nsid w:val="77606A4F"/>
    <w:multiLevelType w:val="hybridMultilevel"/>
    <w:tmpl w:val="A4EA297C"/>
    <w:lvl w:ilvl="0" w:tplc="E818A7F4">
      <w:start w:val="2"/>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nsid w:val="7BA4048E"/>
    <w:multiLevelType w:val="hybridMultilevel"/>
    <w:tmpl w:val="6518C7F0"/>
    <w:lvl w:ilvl="0" w:tplc="862E1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10"/>
  </w:num>
  <w:num w:numId="4">
    <w:abstractNumId w:val="6"/>
  </w:num>
  <w:num w:numId="5">
    <w:abstractNumId w:val="11"/>
  </w:num>
  <w:num w:numId="6">
    <w:abstractNumId w:val="2"/>
  </w:num>
  <w:num w:numId="7">
    <w:abstractNumId w:val="7"/>
  </w:num>
  <w:num w:numId="8">
    <w:abstractNumId w:val="12"/>
  </w:num>
  <w:num w:numId="9">
    <w:abstractNumId w:val="5"/>
  </w:num>
  <w:num w:numId="10">
    <w:abstractNumId w:val="4"/>
  </w:num>
  <w:num w:numId="11">
    <w:abstractNumId w:val="14"/>
  </w:num>
  <w:num w:numId="12">
    <w:abstractNumId w:val="9"/>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eastAsia="MS Mincho" w:cs="Times New Roman"/>
      <w:sz w:val="24"/>
      <w:szCs w:val="24"/>
      <w:lang w:eastAsia="ja-JP"/>
    </w:rPr>
  </w:style>
  <w:style w:type="paragraph" w:styleId="BodyText">
    <w:name w:val="Body Text"/>
    <w:basedOn w:val="Normal"/>
    <w:link w:val="BodyTextChar"/>
    <w:uiPriority w:val="99"/>
    <w:unhideWhenUsed/>
    <w:pPr>
      <w:spacing w:after="120" w:line="240" w:lineRule="auto"/>
    </w:pPr>
    <w:rPr>
      <w:rFonts w:eastAsia="Calibri" w:cs="Times New Roman"/>
    </w:rPr>
  </w:style>
  <w:style w:type="character" w:customStyle="1" w:styleId="BodyTextChar">
    <w:name w:val="Body Text Char"/>
    <w:basedOn w:val="DefaultParagraphFont"/>
    <w:link w:val="BodyText"/>
    <w:uiPriority w:val="99"/>
    <w:rPr>
      <w:rFonts w:eastAsia="Calibri" w:cs="Times New Roman"/>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Default">
    <w:name w:val="Default"/>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eastAsia="MS Mincho" w:cs="Times New Roman"/>
      <w:sz w:val="24"/>
      <w:szCs w:val="24"/>
      <w:lang w:eastAsia="ja-JP"/>
    </w:rPr>
  </w:style>
  <w:style w:type="paragraph" w:styleId="BodyText">
    <w:name w:val="Body Text"/>
    <w:basedOn w:val="Normal"/>
    <w:link w:val="BodyTextChar"/>
    <w:uiPriority w:val="99"/>
    <w:unhideWhenUsed/>
    <w:pPr>
      <w:spacing w:after="120" w:line="240" w:lineRule="auto"/>
    </w:pPr>
    <w:rPr>
      <w:rFonts w:eastAsia="Calibri" w:cs="Times New Roman"/>
    </w:rPr>
  </w:style>
  <w:style w:type="character" w:customStyle="1" w:styleId="BodyTextChar">
    <w:name w:val="Body Text Char"/>
    <w:basedOn w:val="DefaultParagraphFont"/>
    <w:link w:val="BodyText"/>
    <w:uiPriority w:val="99"/>
    <w:rPr>
      <w:rFonts w:eastAsia="Calibri" w:cs="Times New Roman"/>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Default">
    <w:name w:val="Default"/>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80203">
      <w:bodyDiv w:val="1"/>
      <w:marLeft w:val="0"/>
      <w:marRight w:val="0"/>
      <w:marTop w:val="0"/>
      <w:marBottom w:val="0"/>
      <w:divBdr>
        <w:top w:val="none" w:sz="0" w:space="0" w:color="auto"/>
        <w:left w:val="none" w:sz="0" w:space="0" w:color="auto"/>
        <w:bottom w:val="none" w:sz="0" w:space="0" w:color="auto"/>
        <w:right w:val="none" w:sz="0" w:space="0" w:color="auto"/>
      </w:divBdr>
    </w:div>
    <w:div w:id="547957661">
      <w:bodyDiv w:val="1"/>
      <w:marLeft w:val="0"/>
      <w:marRight w:val="0"/>
      <w:marTop w:val="0"/>
      <w:marBottom w:val="0"/>
      <w:divBdr>
        <w:top w:val="none" w:sz="0" w:space="0" w:color="auto"/>
        <w:left w:val="none" w:sz="0" w:space="0" w:color="auto"/>
        <w:bottom w:val="none" w:sz="0" w:space="0" w:color="auto"/>
        <w:right w:val="none" w:sz="0" w:space="0" w:color="auto"/>
      </w:divBdr>
    </w:div>
    <w:div w:id="587082115">
      <w:bodyDiv w:val="1"/>
      <w:marLeft w:val="0"/>
      <w:marRight w:val="0"/>
      <w:marTop w:val="0"/>
      <w:marBottom w:val="0"/>
      <w:divBdr>
        <w:top w:val="none" w:sz="0" w:space="0" w:color="auto"/>
        <w:left w:val="none" w:sz="0" w:space="0" w:color="auto"/>
        <w:bottom w:val="none" w:sz="0" w:space="0" w:color="auto"/>
        <w:right w:val="none" w:sz="0" w:space="0" w:color="auto"/>
      </w:divBdr>
    </w:div>
    <w:div w:id="697434590">
      <w:bodyDiv w:val="1"/>
      <w:marLeft w:val="0"/>
      <w:marRight w:val="0"/>
      <w:marTop w:val="0"/>
      <w:marBottom w:val="0"/>
      <w:divBdr>
        <w:top w:val="none" w:sz="0" w:space="0" w:color="auto"/>
        <w:left w:val="none" w:sz="0" w:space="0" w:color="auto"/>
        <w:bottom w:val="none" w:sz="0" w:space="0" w:color="auto"/>
        <w:right w:val="none" w:sz="0" w:space="0" w:color="auto"/>
      </w:divBdr>
    </w:div>
    <w:div w:id="1289581883">
      <w:bodyDiv w:val="1"/>
      <w:marLeft w:val="0"/>
      <w:marRight w:val="0"/>
      <w:marTop w:val="0"/>
      <w:marBottom w:val="0"/>
      <w:divBdr>
        <w:top w:val="none" w:sz="0" w:space="0" w:color="auto"/>
        <w:left w:val="none" w:sz="0" w:space="0" w:color="auto"/>
        <w:bottom w:val="none" w:sz="0" w:space="0" w:color="auto"/>
        <w:right w:val="none" w:sz="0" w:space="0" w:color="auto"/>
      </w:divBdr>
    </w:div>
    <w:div w:id="1896968691">
      <w:bodyDiv w:val="1"/>
      <w:marLeft w:val="0"/>
      <w:marRight w:val="0"/>
      <w:marTop w:val="0"/>
      <w:marBottom w:val="0"/>
      <w:divBdr>
        <w:top w:val="none" w:sz="0" w:space="0" w:color="auto"/>
        <w:left w:val="none" w:sz="0" w:space="0" w:color="auto"/>
        <w:bottom w:val="none" w:sz="0" w:space="0" w:color="auto"/>
        <w:right w:val="none" w:sz="0" w:space="0" w:color="auto"/>
      </w:divBdr>
    </w:div>
    <w:div w:id="20241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65013-AF2D-4D72-A311-1A47D9A9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Văn phòng đăng ký Đất đai - Sở Tài Nguyên và Môi trường</vt:lpstr>
    </vt:vector>
  </TitlesOfParts>
  <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đăng ký Đất đai - Sở Tài Nguyên và Môi trường</dc:title>
  <dc:creator>LAM HONG</dc:creator>
  <cp:lastModifiedBy>PRO</cp:lastModifiedBy>
  <cp:revision>10</cp:revision>
  <cp:lastPrinted>2020-11-18T01:57:00Z</cp:lastPrinted>
  <dcterms:created xsi:type="dcterms:W3CDTF">2026-03-20T10:02:00Z</dcterms:created>
  <dcterms:modified xsi:type="dcterms:W3CDTF">2026-03-23T07:00:00Z</dcterms:modified>
</cp:coreProperties>
</file>